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93C15">
      <w:pPr>
        <w:ind w:firstLine="709"/>
        <w:jc w:val="both"/>
        <w:rPr>
          <w:rFonts w:ascii="Arial" w:hAnsi="Arial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495" cy="4074795"/>
            <wp:effectExtent l="0" t="0" r="0" b="190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8C" w:rsidRDefault="00A5628C" w:rsidP="00A5628C">
      <w:pPr>
        <w:ind w:firstLine="709"/>
        <w:jc w:val="both"/>
        <w:rPr>
          <w:rFonts w:ascii="Arial" w:hAnsi="Arial"/>
          <w:b/>
          <w:bCs/>
        </w:rPr>
      </w:pPr>
      <w:r w:rsidRPr="00A5628C">
        <w:rPr>
          <w:rFonts w:ascii="Arial" w:hAnsi="Arial"/>
          <w:b/>
          <w:bCs/>
        </w:rPr>
        <w:t>В Тюменской области с 8 ноября вводятся QR-коды для посещения ряда объектов</w:t>
      </w:r>
      <w:r>
        <w:rPr>
          <w:rFonts w:ascii="Arial" w:hAnsi="Arial"/>
          <w:b/>
          <w:bCs/>
        </w:rPr>
        <w:t>:</w:t>
      </w:r>
    </w:p>
    <w:p w:rsidR="00FF579B" w:rsidRPr="00A5628C" w:rsidRDefault="00FF579B" w:rsidP="00A5628C">
      <w:pPr>
        <w:ind w:firstLine="709"/>
        <w:jc w:val="both"/>
        <w:rPr>
          <w:rFonts w:ascii="Arial" w:hAnsi="Arial"/>
          <w:b/>
          <w:bCs/>
        </w:rPr>
      </w:pPr>
      <w:bookmarkStart w:id="0" w:name="_GoBack"/>
      <w:bookmarkEnd w:id="0"/>
    </w:p>
    <w:p w:rsidR="00000000" w:rsidRDefault="00FF579B" w:rsidP="00A5628C">
      <w:pPr>
        <w:ind w:firstLine="709"/>
        <w:jc w:val="both"/>
      </w:pPr>
      <w:r>
        <w:rPr>
          <w:rFonts w:ascii="Arial" w:hAnsi="Arial"/>
        </w:rPr>
        <w:t>театр</w:t>
      </w:r>
      <w:r>
        <w:rPr>
          <w:rFonts w:ascii="Arial" w:hAnsi="Arial"/>
        </w:rPr>
        <w:t>ы</w:t>
      </w:r>
      <w:r>
        <w:rPr>
          <w:rFonts w:ascii="Arial" w:hAnsi="Arial"/>
        </w:rPr>
        <w:t>, кинотеатр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 (кинозал</w:t>
      </w:r>
      <w:r>
        <w:rPr>
          <w:rFonts w:ascii="Arial" w:hAnsi="Arial"/>
        </w:rPr>
        <w:t>ы</w:t>
      </w:r>
      <w:r>
        <w:rPr>
          <w:rFonts w:ascii="Arial" w:hAnsi="Arial"/>
        </w:rPr>
        <w:t>), концертных зал</w:t>
      </w:r>
      <w:r>
        <w:rPr>
          <w:rFonts w:ascii="Arial" w:hAnsi="Arial"/>
        </w:rPr>
        <w:t>ы</w:t>
      </w:r>
      <w:r>
        <w:rPr>
          <w:rFonts w:ascii="Arial" w:hAnsi="Arial"/>
        </w:rPr>
        <w:t>, цирк;</w:t>
      </w:r>
      <w:r w:rsidR="00A5628C">
        <w:t xml:space="preserve"> </w:t>
      </w:r>
      <w:r>
        <w:rPr>
          <w:rFonts w:ascii="Arial" w:hAnsi="Arial"/>
        </w:rPr>
        <w:t>объект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 спорта при проведении на них муниципальных, региональных, межрегиональных, всероссийских и международных физкульту</w:t>
      </w:r>
      <w:r>
        <w:rPr>
          <w:rFonts w:ascii="Arial" w:hAnsi="Arial"/>
        </w:rPr>
        <w:t>рных мероприятий, спортивных мероприятий;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спортивны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 объект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 для предоставления указанным гражданам спортивно-оздоровительных услуг (физкультурно-оздоровительных услуг) физкультурно-спортивными организациями, в том числе фитнес-центрами (студиями), спортив</w:t>
      </w:r>
      <w:r>
        <w:rPr>
          <w:rFonts w:ascii="Arial" w:hAnsi="Arial"/>
        </w:rPr>
        <w:t>ными клубами, иными организациями и индивидуальными предпринимателями, оказывающими услуги в сфере физической культуры и спорта;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торговы</w:t>
      </w:r>
      <w:r>
        <w:rPr>
          <w:rFonts w:ascii="Arial" w:hAnsi="Arial"/>
        </w:rPr>
        <w:t>е</w:t>
      </w:r>
      <w:r>
        <w:rPr>
          <w:rFonts w:ascii="Arial" w:hAnsi="Arial"/>
        </w:rPr>
        <w:t>, торгово-развлекательны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 центр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 и торговы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 комплексов (за исключением отдельно стоящих гипермаркетов, осуществляющих п</w:t>
      </w:r>
      <w:r>
        <w:rPr>
          <w:rFonts w:ascii="Arial" w:hAnsi="Arial"/>
        </w:rPr>
        <w:t>родажу продовольственных товаров универсального ассортимента) общей площадью: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от 4000 квадратных метров в городских округах город Тюмень и город Тобольск;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от 3500 квадратных метров в городском округе город Ишим;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 xml:space="preserve">- от 3000 квадратных метров в городском </w:t>
      </w:r>
      <w:r>
        <w:rPr>
          <w:rFonts w:ascii="Arial" w:hAnsi="Arial"/>
        </w:rPr>
        <w:t>округе город Ялуторовск;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 xml:space="preserve">- от </w:t>
      </w:r>
      <w:r>
        <w:rPr>
          <w:rFonts w:ascii="Arial" w:hAnsi="Arial"/>
        </w:rPr>
        <w:t>25</w:t>
      </w:r>
      <w:r>
        <w:rPr>
          <w:rFonts w:ascii="Arial" w:hAnsi="Arial"/>
        </w:rPr>
        <w:t xml:space="preserve">00 квадратных метров в </w:t>
      </w:r>
      <w:r>
        <w:rPr>
          <w:rFonts w:ascii="Arial" w:hAnsi="Arial"/>
        </w:rPr>
        <w:t>Заводоуковском городском округе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только при наличии </w:t>
      </w:r>
      <w:r>
        <w:rPr>
          <w:rFonts w:ascii="Arial" w:hAnsi="Arial"/>
          <w:b/>
          <w:bCs/>
        </w:rPr>
        <w:t>одного из следующих документов: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QR-кода, оформленного с использованием Единого портала государственных и муниципальных услуг (функций);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медицинского д</w:t>
      </w:r>
      <w:r>
        <w:rPr>
          <w:rFonts w:ascii="Arial" w:hAnsi="Arial"/>
        </w:rPr>
        <w:t xml:space="preserve">окумента, подтверждающих наличие у гражданина вакцинации против новой </w:t>
      </w:r>
      <w:proofErr w:type="spellStart"/>
      <w:r>
        <w:rPr>
          <w:rFonts w:ascii="Arial" w:hAnsi="Arial"/>
        </w:rPr>
        <w:t>коронавирусной</w:t>
      </w:r>
      <w:proofErr w:type="spellEnd"/>
      <w:r>
        <w:rPr>
          <w:rFonts w:ascii="Arial" w:hAnsi="Arial"/>
        </w:rPr>
        <w:t xml:space="preserve"> инфекции (COVID-19) в течение последних 12 месяцев либо перенесенное заболевание COVID-19 в течение последних 6 месяцев;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медицинского документа, подтверждающего наличие ме</w:t>
      </w:r>
      <w:r>
        <w:rPr>
          <w:rFonts w:ascii="Arial" w:hAnsi="Arial"/>
        </w:rPr>
        <w:t xml:space="preserve">дицинских противопоказаний, заверенного лечащим врачом и руководителем (заместителем руководителя) медицинской организации, и отрицательного результата лабораторного исследования на COVID-19 методом ПЦР, полученного не позднее чем за 72 часа, </w:t>
      </w:r>
      <w:r>
        <w:rPr>
          <w:rFonts w:ascii="Arial" w:hAnsi="Arial"/>
          <w:b/>
          <w:bCs/>
        </w:rPr>
        <w:t xml:space="preserve">а также </w:t>
      </w:r>
      <w:r>
        <w:rPr>
          <w:rFonts w:ascii="Arial" w:hAnsi="Arial"/>
          <w:b/>
          <w:bCs/>
        </w:rPr>
        <w:t>докум</w:t>
      </w:r>
      <w:r>
        <w:rPr>
          <w:rFonts w:ascii="Arial" w:hAnsi="Arial"/>
          <w:b/>
          <w:bCs/>
        </w:rPr>
        <w:t>ента, удостоверяющего личность гражданина.</w:t>
      </w:r>
    </w:p>
    <w:p w:rsidR="00000000" w:rsidRDefault="00FF579B">
      <w:pPr>
        <w:ind w:firstLine="709"/>
        <w:jc w:val="both"/>
        <w:rPr>
          <w:rFonts w:ascii="Arial" w:hAnsi="Arial"/>
          <w:b/>
          <w:bCs/>
        </w:rPr>
      </w:pPr>
    </w:p>
    <w:p w:rsidR="00000000" w:rsidRDefault="00FF579B">
      <w:pPr>
        <w:ind w:firstLine="709"/>
        <w:jc w:val="both"/>
      </w:pPr>
      <w:r>
        <w:rPr>
          <w:rFonts w:ascii="Arial" w:hAnsi="Arial"/>
          <w:b/>
          <w:bCs/>
        </w:rPr>
        <w:t>С 3 декабря 2021 года</w:t>
      </w:r>
      <w:r>
        <w:rPr>
          <w:rFonts w:ascii="Arial" w:hAnsi="Arial"/>
        </w:rPr>
        <w:t xml:space="preserve"> кроме вышеперечисленных объектов дополнительно вводится обязательное предъявлении QR-кода </w:t>
      </w:r>
      <w:r>
        <w:rPr>
          <w:rFonts w:ascii="Arial" w:hAnsi="Arial"/>
        </w:rPr>
        <w:t>или других документов</w:t>
      </w:r>
      <w:r>
        <w:rPr>
          <w:rFonts w:ascii="Arial" w:hAnsi="Arial"/>
        </w:rPr>
        <w:t xml:space="preserve"> при посещении розничных рынков, отдельно стоящих гипермаркетов, а также торгов</w:t>
      </w:r>
      <w:r>
        <w:rPr>
          <w:rFonts w:ascii="Arial" w:hAnsi="Arial"/>
        </w:rPr>
        <w:t>ых объектов общей площадью: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lastRenderedPageBreak/>
        <w:t>- от 4000 квадратных метров в городских округах город Тюмень и город Тобольск;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от 3500 квадратных метров в городском округе город Ишим;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от 3000 квадратных метров в городском округе город Ялуторовск;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от 2500 квадратных метр</w:t>
      </w:r>
      <w:r>
        <w:rPr>
          <w:rFonts w:ascii="Arial" w:hAnsi="Arial"/>
        </w:rPr>
        <w:t xml:space="preserve">ов в городе Заводоуковске </w:t>
      </w:r>
      <w:proofErr w:type="spellStart"/>
      <w:r>
        <w:rPr>
          <w:rFonts w:ascii="Arial" w:hAnsi="Arial"/>
        </w:rPr>
        <w:t>Заводоуковского</w:t>
      </w:r>
      <w:proofErr w:type="spellEnd"/>
      <w:r>
        <w:rPr>
          <w:rFonts w:ascii="Arial" w:hAnsi="Arial"/>
        </w:rPr>
        <w:t xml:space="preserve"> городского округа.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ночных клубов, дискотек, караоке, боулинг клубов, батутных центров, кальянных, букмекерских контор и тотализаторов;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салонов красоты, косметических салонов, соляриев, массажных салонов, парикмахер</w:t>
      </w:r>
      <w:r>
        <w:rPr>
          <w:rFonts w:ascii="Arial" w:hAnsi="Arial"/>
        </w:rPr>
        <w:t>ских;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аквапарков, СПА-комплексов, банно-оздоровительных комплексов, бань, саун, термальных источников, баз отдыха, туристических баз, пансионатов, домов отдыха, за исключением бань, находящихся в государственной и муниципальной собственности;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предприятий о</w:t>
      </w:r>
      <w:r>
        <w:rPr>
          <w:rFonts w:ascii="Arial" w:hAnsi="Arial"/>
        </w:rPr>
        <w:t>бщественного питания, за исключением: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предприятий общественного питания по изготовлению и доставке потребителям по их заказам продукции общественного питания, обслуживанию на вынос без посещения гражданами помещений организаций общественного питания;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п</w:t>
      </w:r>
      <w:r>
        <w:rPr>
          <w:rFonts w:ascii="Arial" w:hAnsi="Arial"/>
        </w:rPr>
        <w:t>редприятий общественного питания по обслуживанию пассажиров в аэропортах, на железнодорожных вокзалах, на автовокзалах и автостанциях;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предприятий общественного питания придорожного сервиса, осуществляющие обслуживание участников дорожного движения на ав</w:t>
      </w:r>
      <w:r>
        <w:rPr>
          <w:rFonts w:ascii="Arial" w:hAnsi="Arial"/>
        </w:rPr>
        <w:t>томобильных дорогах общего пользования федерального значения;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- предприятий общественного питания, расположенных в гостиницах и предоставляющие услуги питания потребителям гостиничных услуг.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QR-код предъявляется гражданином на электронных устройствах или н</w:t>
      </w:r>
      <w:r>
        <w:rPr>
          <w:rFonts w:ascii="Arial" w:hAnsi="Arial"/>
        </w:rPr>
        <w:t>а бумажном носителе в формате, позволяющем сканировать его камерой смартфона, планшета, иного подобного устройства.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С помощью приложения «</w:t>
      </w:r>
      <w:proofErr w:type="spellStart"/>
      <w:r>
        <w:rPr>
          <w:rFonts w:ascii="Arial" w:hAnsi="Arial"/>
        </w:rPr>
        <w:t>Госуслуги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Стопкоронавирус</w:t>
      </w:r>
      <w:proofErr w:type="spellEnd"/>
      <w:r>
        <w:rPr>
          <w:rFonts w:ascii="Arial" w:hAnsi="Arial"/>
        </w:rPr>
        <w:t>» можно проверить на подлинность цифровой сертификат о вакцинации или перенесенном заболевани</w:t>
      </w:r>
      <w:r>
        <w:rPr>
          <w:rFonts w:ascii="Arial" w:hAnsi="Arial"/>
        </w:rPr>
        <w:t>и COVID-19.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 xml:space="preserve">Найти сертификат (QR-код) можно в личном кабинете на сайте </w:t>
      </w:r>
      <w:proofErr w:type="spellStart"/>
      <w:r>
        <w:rPr>
          <w:rFonts w:ascii="Arial" w:hAnsi="Arial"/>
        </w:rPr>
        <w:t>госуслуг</w:t>
      </w:r>
      <w:proofErr w:type="spellEnd"/>
      <w:r>
        <w:rPr>
          <w:rFonts w:ascii="Arial" w:hAnsi="Arial"/>
        </w:rPr>
        <w:t xml:space="preserve"> или в приложении «</w:t>
      </w:r>
      <w:proofErr w:type="spellStart"/>
      <w:r>
        <w:rPr>
          <w:rFonts w:ascii="Arial" w:hAnsi="Arial"/>
        </w:rPr>
        <w:t>Госуслуги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Стопкоронавирус</w:t>
      </w:r>
      <w:proofErr w:type="spellEnd"/>
      <w:r>
        <w:rPr>
          <w:rFonts w:ascii="Arial" w:hAnsi="Arial"/>
        </w:rPr>
        <w:t>». В нем отображается сертификат вакцинированного или переболевшего COVID-19, результаты ПЦР-тестов и справочная информация. Все данн</w:t>
      </w:r>
      <w:r>
        <w:rPr>
          <w:rFonts w:ascii="Arial" w:hAnsi="Arial"/>
        </w:rPr>
        <w:t>ые в «</w:t>
      </w:r>
      <w:proofErr w:type="spellStart"/>
      <w:r>
        <w:rPr>
          <w:rFonts w:ascii="Arial" w:hAnsi="Arial"/>
        </w:rPr>
        <w:t>Госуслуги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Стопкоронавирус</w:t>
      </w:r>
      <w:proofErr w:type="spellEnd"/>
      <w:r>
        <w:rPr>
          <w:rFonts w:ascii="Arial" w:hAnsi="Arial"/>
        </w:rPr>
        <w:t>» подгружаются из реестра Минздрава РФ.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 xml:space="preserve">Приложение доступно для скачивания на устройства с операционной системой </w:t>
      </w:r>
      <w:proofErr w:type="spellStart"/>
      <w:r>
        <w:rPr>
          <w:rFonts w:ascii="Arial" w:hAnsi="Arial"/>
        </w:rPr>
        <w:t>iOS</w:t>
      </w:r>
      <w:proofErr w:type="spellEnd"/>
      <w:r>
        <w:rPr>
          <w:rFonts w:ascii="Arial" w:hAnsi="Arial"/>
        </w:rPr>
        <w:t xml:space="preserve"> по ссылке и для устройств на базе </w:t>
      </w:r>
      <w:proofErr w:type="spellStart"/>
      <w:r>
        <w:rPr>
          <w:rFonts w:ascii="Arial" w:hAnsi="Arial"/>
        </w:rPr>
        <w:t>Android</w:t>
      </w:r>
      <w:proofErr w:type="spellEnd"/>
      <w:r>
        <w:rPr>
          <w:rFonts w:ascii="Arial" w:hAnsi="Arial"/>
        </w:rPr>
        <w:t>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С помощью встроенного в приложение сканера можно проверить подлин</w:t>
      </w:r>
      <w:r>
        <w:rPr>
          <w:rFonts w:ascii="Arial" w:hAnsi="Arial"/>
        </w:rPr>
        <w:t>ность сертификата о вакцинации. При сканировании поддельного появится ошибка.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Если QR-код подлинный, пользователь услышит звуковой сигнал и увидит номер сертификата о вакцинации.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Госуслуги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Стопкоронавирус</w:t>
      </w:r>
      <w:proofErr w:type="spellEnd"/>
      <w:r>
        <w:rPr>
          <w:rFonts w:ascii="Arial" w:hAnsi="Arial"/>
        </w:rPr>
        <w:t>» можно использовать как способ контроля за соблюде</w:t>
      </w:r>
      <w:r>
        <w:rPr>
          <w:rFonts w:ascii="Arial" w:hAnsi="Arial"/>
        </w:rPr>
        <w:t>нием мероприятий по недопущению распространения COVID-19. Также приложение может использоваться организациями, на посещение которых распространяются ограничительные меры.</w:t>
      </w:r>
    </w:p>
    <w:p w:rsidR="00000000" w:rsidRDefault="00FF579B">
      <w:pPr>
        <w:ind w:firstLine="709"/>
        <w:jc w:val="both"/>
      </w:pPr>
      <w:r>
        <w:rPr>
          <w:rFonts w:ascii="Arial" w:hAnsi="Arial"/>
        </w:rPr>
        <w:t>Допуск граждан на объекты осуществляются при предъявлении указанных выше документов с</w:t>
      </w:r>
      <w:r>
        <w:rPr>
          <w:rFonts w:ascii="Arial" w:hAnsi="Arial"/>
        </w:rPr>
        <w:t xml:space="preserve">отрудникам организации для проверки их с помощью мобильного устройства. </w:t>
      </w:r>
    </w:p>
    <w:p w:rsidR="00A5628C" w:rsidRDefault="00A5628C">
      <w:pPr>
        <w:ind w:firstLine="709"/>
        <w:jc w:val="both"/>
        <w:rPr>
          <w:rFonts w:ascii="Arial" w:hAnsi="Arial"/>
        </w:rPr>
      </w:pPr>
    </w:p>
    <w:sectPr w:rsidR="00A5628C" w:rsidSect="00FF579B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C"/>
    <w:rsid w:val="00993C15"/>
    <w:rsid w:val="00A5628C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F0BA9F-FC76-48FE-A8FF-223F1446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zovaUV\Desktop\&#1050;&#1086;&#1076;\&#1042;%20&#1058;&#1102;&#1084;&#1077;&#1085;&#1089;&#1082;&#1086;&#1081;%20&#1086;&#1073;&#1083;&#1072;&#1089;&#1090;&#1080;%20&#1089;%208%20&#1085;&#1086;&#1103;&#1073;&#1088;&#1103;%20&#1074;&#1074;&#1086;&#1076;&#1103;&#1090;&#1089;&#1103;%20QR-&#1082;&#1086;&#1076;&#1099;%20&#1076;&#1083;&#1103;%20&#1087;&#1086;&#1089;&#1077;&#1097;&#1077;&#1085;&#1080;&#1103;%20&#1088;&#1103;&#1076;&#1072;%20&#1086;&#1073;&#1098;&#1077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Тюменской области с 8 ноября вводятся QR-коды для посещения ряда объектов</Template>
  <TotalTime>16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cp:lastModifiedBy>Хорзова Юлия Васильевна</cp:lastModifiedBy>
  <cp:revision>2</cp:revision>
  <cp:lastPrinted>2021-11-19T10:24:00Z</cp:lastPrinted>
  <dcterms:created xsi:type="dcterms:W3CDTF">2021-11-22T09:27:00Z</dcterms:created>
  <dcterms:modified xsi:type="dcterms:W3CDTF">2021-11-22T09:43:00Z</dcterms:modified>
</cp:coreProperties>
</file>