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bottomFromText="0" w:horzAnchor="margin" w:leftFromText="180" w:rightFromText="180" w:tblpX="0" w:tblpY="-39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69"/>
        <w:gridCol w:w="4536"/>
      </w:tblGrid>
      <w:tr>
        <w:trPr>
          <w:trHeight w:val="277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СОГЛАСОВАНО:</w:t>
            </w:r>
          </w:p>
        </w:tc>
        <w:tc>
          <w:tcPr>
            <w:tcW w:w="45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УТВЕРЖДАЮ:</w:t>
            </w:r>
          </w:p>
        </w:tc>
      </w:tr>
      <w:tr>
        <w:trPr>
          <w:trHeight w:val="738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И.о. генерального директора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«НК «Роснефть - НТЦ»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Начальник управления по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проектно-изыскательским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работам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«РН-Уватнефтегаз»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____________________ </w:t>
            </w:r>
            <w:r>
              <w:rPr>
                <w:rFonts w:cs="Times New Roman" w:ascii="Times New Roman" w:hAnsi="Times New Roman"/>
                <w:b/>
              </w:rPr>
              <w:t>А.А. Попов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__________________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В.И. Мокрый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 _____________</w:t>
            </w:r>
            <w:r>
              <w:rPr>
                <w:rFonts w:cs="Times New Roman" w:ascii="Times New Roman" w:hAnsi="Times New Roman"/>
                <w:b/>
              </w:rPr>
              <w:t xml:space="preserve"> 2021 г.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«_____»____________</w:t>
            </w:r>
            <w:r>
              <w:rPr>
                <w:rFonts w:cs="Times New Roman" w:ascii="Times New Roman" w:hAnsi="Times New Roman"/>
                <w:b/>
              </w:rPr>
              <w:t>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ТЕХНИЧЕСКОЕ ЗАДАНИЕ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проведение оценки воздействия на окружающую среду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/>
        </w:rPr>
        <w:t>Средне-Кеумское месторождение. Обустройство. Объекты инфраструктуры. 2-я очередь</w:t>
      </w:r>
      <w:r>
        <w:rPr>
          <w:rFonts w:cs="Times New Roman" w:ascii="Times New Roman" w:hAnsi="Times New Roman"/>
        </w:rPr>
        <w:t>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"/>
        <w:gridCol w:w="2352"/>
        <w:gridCol w:w="6341"/>
      </w:tblGrid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объекта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документация «Средне-Кеумское месторождение. Обустройство. Объекты инфраструктуры. 2-я очередь»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Заказчика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 с ограниченной ответственностью «РН-Уватнефтегаз» (ООО «РН-Уватнефтегаз»)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625000, Тюменская область, г. Тюмень, ул. Ленина, д. 67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Исполнителя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«НК «Роснефть» – НТЦ»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350000, Россия, г. Краснодар, ул. Красная, д. 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Телефон: (861) 201-74-00, факс: (861) 262-64-01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rosneft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Цель реализации проекта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объектов инфраструктуры на Средне-Кеумском месторождении.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Местоположение объекта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Средне-Кеумское месторождение, Уватский район, Тюменская область, Российская Федерация.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методы проведения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проведении работ по ОВОС при строительстве объектов инфраструктуры на Средне-Кеумском месторождении используются аналоговые и расчетные методы.</w:t>
            </w:r>
          </w:p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организации процесса общественного участия в процедуре ОВОС используются следующие методы: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е местного населения через средства массовой информации, предоставление технического задания и предварительных материалов ОВОС для ознакомления;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общественные обсуждения в форме слушаний.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проведения общественных обсуждений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администрации Уватского района о проведении ОВОС. Определение участников ОВОС, в том числе, круга заинтересованной общественности и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общественности о проведении ОВОС, месте и сроках доступа ТЗ на ОВОС, предварительных материалов ОВОС.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замечаний и предложений заинтересованной общественности,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общественных обсуждений в форме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и учет поступивших замечаний, предложений. Составление протокола общественных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окончательного варианта ОВОС с учетом поступивших замечаний и предложений.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доступа к окончательному варианту ОВОС в течение всего срока с момента утверждения последнего варианта и до принятия решения о реализации намечаемой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Перечень проектируемых сооружений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Объекты инфраструктуры на Средне-Кеумском месторождении. Состав сооружений в соответствии с генеральным планом.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 предприятия – круглосуточный, круглогодичный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назначение разработки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ОВОС в отношении планируемой хозяйственной деятельности, которая может оказать прямое или косвенное воздействие на окружающую среду (ст. 32 Федерального закона № 7-ФЗ «Об охране окружающей среды» от 10.01.2002 г.), в соответствии с требованиями, установленными «Положением об оценке воздействия намечаемой хозяйственной и иной деятельности на окружающую среду в Российской Федерации», утв. Приказом Госкомэкологии РФ от 16.05.2000 г. № 372.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характера, интенсивности, степени опасности влияния планируемой хозяйственной деятельности на состояние окружающей среды.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Предотвращение или смягчение воздействия намечаемой деятельности на окружающую среду и связанных с ней социальных, экономических и иных последствий.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задачи при выполнении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характеристик намечаемой хозяйственной деятельности как источника воздействия на окружающую среду. Рассмотрение альтернативных вариантов достижения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современного состояния территории, на которую может оказать влияние намечаемая хозяйственная деятельность (состояние окружающей среды, наличие и характер антропогенной нагрузки).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возможных воздействий намечаемой хозяйственной деятельности на окружающую среду в периоды: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строительных работ;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нормальной эксплуатации;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аварийной ситуации.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оценки воздействия на состояние всех компонентов окружающей среды и изменения социально-экономических условий в результате реализации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мероприятий, уменьшающих, смягчающих или предотвращающих негативное воздействие, оценка их эффективности и возможности реализации.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значимости остаточных воздействий на окружающую среду и их последствий.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и учет общественных предпочтений при принятии решений.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и участие общественности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целью реализации прав граждан на информирование и участие в принятии экологически значимых решений, выявления экологических факторов на рассматриваемой территории, для учета при экологической оценке значимых воздействий, учета интересов различных групп населения, получения информации о местных условиях (с целью корректировки проекта или выработки дополнительных мер), обеспечения большей прозрачности и ответственности в принятии решений, снижения конфликтности путем раннего выявления спорных вопросов, проводятся информирование в печати и других средствах массовой информации и встречи с общественностью.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разделом 4 «Положения 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от 16.05.2000 г. № 372, общественное обсуждение намечаемой деятельности организуется Подрядчиком по поручению Заказчика, осуществляющего планируемую хозяйственную деятельность, совместно с органами местного самоуправления и Заказчиком.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Дополнительное информирование участников процесса ОВОС осуществляется путем размещения информации в периодической печати печатные СМИ федерального, регионального и местного уровней, а также размещением информации в общественной приемной на сайте администрации Уватского района в Интернете.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сроках и месте доступности предварительного варианта материалов по ОВОС, о дате и месте проведения общественных слушаний публикуется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не позднее, чем за 30 дней до окончания общественных слушаний.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Принятие письменных замечаний и предложений в период до принятия решения о реализации намечаемой деятельности и документирование этих предложений в приложениях к материалам по ОВОС производится в течение 30 дней после окончания общественного обсуждения. 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необходимости выполнения работ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требований действующего законодательства Российской Федерации.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нормативно-правовых актов и инструктивно-методических документов, в соответствии с которыми выполняются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Положения об оценке воздействия намечаемой хозяйственной и иной деятельности на окружающую среду в Российской Федерации. Утверждено приказом Госкомэкологии от 16.05.2000 г. № 372.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Инструкция по экологическому обоснованию хозяйственной и иной деятельности, утвержденная приказом Минприроды Росси от 29.12.1995 г. № 539.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Руководство по проведению оценки воздействия на окружающую среду (ОВОС) при выборе площадки, разработке технико-экономических обоснований и проектов строительства (реконструкции, расширения и технического перевооружения) хозяйственных объектов и комплексов. Утверждено 01.01.1992 г. Министерством экологии и природопользования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Действующее законодательство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Действующие инструктивно-методические документы.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содержание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(приказ Госкомэкологии от 16.05.2000 года № 372), оценка воздействия на окружающую среду намечаемой хозяйственной и иной деятельности должна включать следующие материалы: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сведения. В том числе информация по текущему состоянию окружающей среды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Пояснительная записка по обосновывающей документации.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потребность реализации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альтернативных вариантов достижения цели намечаемой хозяйственной, включая предлагаемый и "нулевой вариант" (отказ от деятельности).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компонентов окружающей среды, которые могут быть затронуты намечаемой хозяйственной и иной деятельностью в результате ее реализации (по альтернативным вариантам).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Меры по предотвращению и/или снижению возможного негативного воздействия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программ экологического мониторинга.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Сопровождение и согласование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организацию и проведение общественных слушаний, в соответствии с «Положением об оценке воздействия намечаемой хозяйственной и иной деятельности на окружающую среду в Российской Федерации», утверждённым приказом Госкомэкологии от 16.05.2000 г. № 372., в объеме и с качеством, обеспечивающих получение положительного заключения государственной экологической экспертизы. Исполнитель обеспечивает публикации в СМИ (согласно п.13.4. данного ТЗ).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проведение государственной экологической экспертизы проекта до получения положительного заключения.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Заказчик согласовывает проектные решения, итоги и выводы, сделанные на этапах ОВОС, в том числе отчёт по ОВОС. Исполнитель в рамках проведения государственной экологической экспертизы участвует в совещаниях, устраняет замечания экспертизы по проведённой ОВОС.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количество документации, передаваемой Заказчику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Предварительные материалы по оценке воздействия на окружающую среду в двух экземплярах в бумажном виде и в электронном виде.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Окончательный вариант материалов по оценке воздействия на окружающую среду с учетом замечаний, предложений и информации, поступившей от участников процесса оценки воздействия на окружающую среду на стадии обсуждения.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на бумажном носителе - 2 экз., сброшюрованные в альбомы.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структура электронной версии документации должны быть идентичны бумажному оригиналу.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Документация на электронном носителе представляется в следующих форматах: чертежи основных комплектов и текстовая документация - Adobe Portable Document format (*.doc, *.pdf, *.tiff).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в электронном виде - 2 экз на CD.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«Средне-Кеумское месторождение. Обустройство. Объекты инфраструктуры. 2-я очередь»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«РН-Уватнефтегаз»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Заместитель начальника  управления - начальник отдела организации и планирования проектно-изыскательских работ, сопровождения экспертиз и архива проектно-сметной документации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Ю.П. Орлов</w:t>
            </w:r>
          </w:p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  <w:tr>
        <w:trPr>
          <w:trHeight w:val="1083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Начальник отдела контроля проектно-изыскательских работ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________________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</w:rPr>
              <w:t>В.Н. Колчин</w:t>
            </w:r>
          </w:p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«___» ___________ 2020 г.</w:t>
            </w:r>
            <w:r>
              <w:rPr>
                <w:rFonts w:cs="Times New Roman" w:ascii="Times New Roman" w:hAnsi="Times New Roman"/>
                <w:b/>
                <w:i/>
              </w:rPr>
              <w:t>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И.о. начальника отдела природоохранных мероприятий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785" w:leader="none"/>
                <w:tab w:val="left" w:pos="1927" w:leader="none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 М.Н. Илюхина</w:t>
            </w:r>
          </w:p>
          <w:p>
            <w:pPr>
              <w:pStyle w:val="Normal"/>
              <w:suppressAutoHyphens w:val="true"/>
              <w:spacing w:lineRule="auto" w:line="360" w:before="0" w:after="24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szCs w:val="24"/>
          <w:u w:val="single"/>
          <w:lang w:eastAsia="ru-RU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«Средне-Кеумское месторождение. Обустройство. Объекты инфраструктуры. 2-я очередь»</w:t>
      </w:r>
    </w:p>
    <w:p>
      <w:pPr>
        <w:pStyle w:val="Normal"/>
        <w:suppressAutoHyphens w:val="true"/>
        <w:jc w:val="right"/>
        <w:rPr>
          <w:rFonts w:ascii="Times New Roman" w:hAnsi="Times New Roman" w:eastAsia="Times New Roman" w:cs="Times New Roman"/>
          <w:b/>
          <w:b/>
          <w:i/>
          <w:i/>
          <w:spacing w:val="-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pacing w:val="-14"/>
          <w:szCs w:val="24"/>
          <w:lang w:eastAsia="ru-RU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«НК «Роснефть - НТЦ»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FF0000"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Заместитель главного инженера 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по инжинирингу в ПИР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__ Д.А. Кустов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ГИП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П.В. Филиппов</w:t>
            </w:r>
          </w:p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Начальник отдела П и СП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________________ 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В.А. Брезгун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709" w:footer="22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3921900"/>
    </w:sdtPr>
    <w:sdtContent>
      <w:p>
        <w:pPr>
          <w:pStyle w:val="Style24"/>
          <w:tabs>
            <w:tab w:val="left" w:pos="720" w:leader="none"/>
            <w:tab w:val="center" w:pos="4677" w:leader="none"/>
            <w:tab w:val="right" w:pos="9355" w:leader="none"/>
          </w:tabs>
          <w:jc w:val="right"/>
          <w:rPr/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7" wp14:anchorId="2DF71C3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55245</wp:posOffset>
                  </wp:positionV>
                  <wp:extent cx="6228080" cy="635"/>
                  <wp:effectExtent l="0" t="0" r="20955" b="19050"/>
                  <wp:wrapNone/>
                  <wp:docPr id="1" name="Прямая соединительная линия 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27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8.55pt,4.35pt" to="481.75pt,4.35pt" ID="Прямая соединительная линия 4" stroked="t" style="position:absolute" wp14:anchorId="2DF71C36">
                  <v:stroke color="black" weight="9360" joinstyle="round" endcap="flat"/>
                  <v:fill o:detectmouseclick="t" on="false"/>
                </v:line>
              </w:pict>
            </mc:Fallback>
          </mc:AlternateContent>
        </w:r>
        <w:r>
          <w:rPr/>
          <w:t xml:space="preserve"> </w:t>
        </w:r>
        <w:r>
          <w:rPr/>
          <w:tab/>
        </w:r>
      </w:p>
      <w:p>
        <w:pPr>
          <w:pStyle w:val="Normal"/>
          <w:rPr>
            <w:rFonts w:ascii="Times New Roman" w:hAnsi="Times New Roman" w:cs="Times New Roman"/>
            <w:sz w:val="18"/>
            <w:szCs w:val="18"/>
          </w:rPr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13" wp14:anchorId="19180355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156845</wp:posOffset>
                  </wp:positionV>
                  <wp:extent cx="980440" cy="267335"/>
                  <wp:effectExtent l="0" t="0" r="0" b="0"/>
                  <wp:wrapNone/>
                  <wp:docPr id="2" name="Поле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9920" cy="26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6"/>
                                <w:ind w:hanging="180"/>
                                <w:jc w:val="right"/>
                                <w:rPr/>
                              </w:pP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СТРАНИЦА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PAGE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0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 ИЗ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NUMPAGES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1" stroked="f" style="position:absolute;margin-left:418.55pt;margin-top:12.35pt;width:77.1pt;height:20.95pt" wp14:anchorId="19180355">
                  <w10:wrap type="square"/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Style26"/>
                          <w:ind w:hanging="180"/>
                          <w:jc w:val="right"/>
                          <w:rPr/>
                        </w:pP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СТРАНИЦА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PAGE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0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 ИЗ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NUMPAGES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6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cs="Times New Roman" w:ascii="Times New Roman" w:hAnsi="Times New Roman"/>
            <w:sz w:val="18"/>
            <w:szCs w:val="18"/>
          </w:rPr>
          <w:t>ТЗ на ОВОС по объекту «Средне-Кеумское месторождение. Обустройство. Объекты инфраструктуры. 2-я очередь»</w:t>
          <w:tab/>
          <w:tab/>
          <w:tab/>
          <w:tab/>
          <w:tab/>
          <w:tab/>
        </w:r>
      </w:p>
      <w:p>
        <w:pPr>
          <w:pStyle w:val="Normal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  <w:rFonts w:ascii="Times New Roman" w:hAnsi="Times New Roman"/>
        <w:color w:val="auto"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10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1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12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14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15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6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1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780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0780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40780"/>
    <w:rPr>
      <w:rFonts w:ascii="Arial" w:hAnsi="Arial"/>
    </w:rPr>
  </w:style>
  <w:style w:type="character" w:styleId="Style16" w:customStyle="1">
    <w:name w:val="ВНП Обычный текст с отступом Знак"/>
    <w:link w:val="a9"/>
    <w:qFormat/>
    <w:rsid w:val="009b30a9"/>
    <w:rPr>
      <w:rFonts w:ascii="Arial" w:hAnsi="Arial" w:eastAsia="Times New Roman" w:cs="Arial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105a4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076a4f"/>
    <w:rPr>
      <w:rFonts w:ascii="Arial" w:hAnsi="Arial"/>
    </w:rPr>
  </w:style>
  <w:style w:type="character" w:styleId="Keyvalueitemvalue" w:customStyle="1">
    <w:name w:val="key-value__item-value"/>
    <w:basedOn w:val="DefaultParagraphFont"/>
    <w:qFormat/>
    <w:rsid w:val="00af0bb4"/>
    <w:rPr/>
  </w:style>
  <w:style w:type="character" w:styleId="Upper" w:customStyle="1">
    <w:name w:val="upper"/>
    <w:basedOn w:val="DefaultParagraphFont"/>
    <w:qFormat/>
    <w:rsid w:val="00af0bb4"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/>
      <w:color w:val="auto"/>
      <w:sz w:val="22"/>
      <w:szCs w:val="24"/>
    </w:rPr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2"/>
      <w:szCs w:val="24"/>
    </w:rPr>
  </w:style>
  <w:style w:type="character" w:styleId="ListLabel20">
    <w:name w:val="ListLabel 20"/>
    <w:qFormat/>
    <w:rPr>
      <w:rFonts w:cs="Times New Roman"/>
      <w:sz w:val="22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2"/>
      <w:szCs w:val="24"/>
    </w:rPr>
  </w:style>
  <w:style w:type="character" w:styleId="ListLabel22">
    <w:name w:val="ListLabel 22"/>
    <w:qFormat/>
    <w:rPr>
      <w:rFonts w:ascii="Times New Roman" w:hAnsi="Times New Roman" w:cs="Times New Roman"/>
      <w:sz w:val="22"/>
      <w:szCs w:val="24"/>
    </w:rPr>
  </w:style>
  <w:style w:type="character" w:styleId="ListLabel23">
    <w:name w:val="ListLabel 23"/>
    <w:qFormat/>
    <w:rPr>
      <w:rFonts w:ascii="Times New Roman" w:hAnsi="Times New Roman" w:cs="Times New Roman"/>
      <w:sz w:val="22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2"/>
      <w:szCs w:val="24"/>
    </w:rPr>
  </w:style>
  <w:style w:type="character" w:styleId="ListLabel25">
    <w:name w:val="ListLabel 25"/>
    <w:qFormat/>
    <w:rPr>
      <w:rFonts w:ascii="Times New Roman" w:hAnsi="Times New Roman" w:cs="Times New Roman"/>
      <w:sz w:val="22"/>
      <w:szCs w:val="24"/>
    </w:rPr>
  </w:style>
  <w:style w:type="character" w:styleId="ListLabel26">
    <w:name w:val="ListLabel 26"/>
    <w:qFormat/>
    <w:rPr>
      <w:rFonts w:cs="Times New Roman"/>
      <w:sz w:val="22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2"/>
      <w:szCs w:val="24"/>
    </w:rPr>
  </w:style>
  <w:style w:type="character" w:styleId="ListLabel28">
    <w:name w:val="ListLabel 28"/>
    <w:qFormat/>
    <w:rPr>
      <w:rFonts w:ascii="Times New Roman" w:hAnsi="Times New Roman" w:cs="Times New Roman"/>
      <w:sz w:val="22"/>
      <w:szCs w:val="24"/>
    </w:rPr>
  </w:style>
  <w:style w:type="character" w:styleId="ListLabel29">
    <w:name w:val="ListLabel 29"/>
    <w:qFormat/>
    <w:rPr>
      <w:color w:val="auto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c40780"/>
    <w:pPr>
      <w:spacing w:before="0" w:after="0"/>
      <w:ind w:left="720" w:hanging="0"/>
      <w:contextualSpacing/>
    </w:pPr>
    <w:rPr/>
  </w:style>
  <w:style w:type="paragraph" w:styleId="Style24">
    <w:name w:val="Footer"/>
    <w:basedOn w:val="Normal"/>
    <w:link w:val="a8"/>
    <w:uiPriority w:val="99"/>
    <w:unhideWhenUsed/>
    <w:rsid w:val="00c407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ВНП Обычный текст с отступом"/>
    <w:basedOn w:val="Normal"/>
    <w:link w:val="aa"/>
    <w:qFormat/>
    <w:rsid w:val="009b30a9"/>
    <w:pPr>
      <w:spacing w:lineRule="auto" w:line="360"/>
      <w:ind w:firstLine="720"/>
      <w:jc w:val="both"/>
    </w:pPr>
    <w:rPr>
      <w:rFonts w:eastAsia="Times New Roman" w:cs="Arial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105a4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e"/>
    <w:uiPriority w:val="99"/>
    <w:unhideWhenUsed/>
    <w:rsid w:val="00076a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8" w:customStyle="1">
    <w:name w:val="ВНП Список_маркированный"/>
    <w:qFormat/>
    <w:rsid w:val="004d422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4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2"/>
    <w:uiPriority w:val="59"/>
    <w:rsid w:val="00af35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405D-1C1C-472C-A252-1192523C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LibreOffice/6.2.8.2$Linux_X86_64 LibreOffice_project/20$Build-2</Application>
  <Pages>4</Pages>
  <Words>1478</Words>
  <Characters>11093</Characters>
  <CharactersWithSpaces>12396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2021-05-26T09:16:00Z</dcterms:created>
  <dc:creator>Катаева Екатерина Геннадьевна</dc:creator>
  <dc:description/>
  <dc:language>ru-RU</dc:language>
  <cp:lastModifiedBy>Капшаев Дмитрий Викторович</cp:lastModifiedBy>
  <cp:lastPrinted>2021-05-26T09:17:00Z</cp:lastPrinted>
  <dcterms:modified xsi:type="dcterms:W3CDTF">2021-08-11T09:17:00Z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