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2FC1" w:rsidRDefault="00966456">
      <w:pPr>
        <w:pStyle w:val="a9"/>
        <w:spacing w:beforeAutospacing="0" w:after="0" w:afterAutospacing="0"/>
        <w:jc w:val="center"/>
      </w:pPr>
      <w:r>
        <w:rPr>
          <w:rFonts w:asciiTheme="minorHAnsi" w:eastAsiaTheme="minorEastAsia" w:hAnsi="Calibri" w:cstheme="minorBidi"/>
          <w:color w:val="2E74B5" w:themeColor="accent5" w:themeShade="BF"/>
          <w:kern w:val="2"/>
          <w:sz w:val="64"/>
          <w:szCs w:val="64"/>
        </w:rPr>
        <w:t xml:space="preserve">Инфраструктурные площадки для реализации инвестиционных проектов </w:t>
      </w:r>
    </w:p>
    <w:p w:rsidR="00A12FC1" w:rsidRDefault="00966456">
      <w:pPr>
        <w:pStyle w:val="a9"/>
        <w:spacing w:beforeAutospacing="0" w:after="0" w:afterAutospacing="0"/>
        <w:jc w:val="center"/>
        <w:rPr>
          <w:rFonts w:asciiTheme="minorHAnsi" w:eastAsiaTheme="minorEastAsia" w:hAnsi="Calibri" w:cstheme="minorBidi"/>
          <w:color w:val="2E74B5" w:themeColor="accent5" w:themeShade="BF"/>
          <w:kern w:val="2"/>
          <w:sz w:val="64"/>
          <w:szCs w:val="64"/>
        </w:rPr>
      </w:pPr>
      <w:r>
        <w:rPr>
          <w:rFonts w:asciiTheme="minorHAnsi" w:eastAsiaTheme="minorEastAsia" w:hAnsi="Calibri" w:cstheme="minorBidi"/>
          <w:color w:val="2E74B5" w:themeColor="accent5" w:themeShade="BF"/>
          <w:kern w:val="2"/>
          <w:sz w:val="64"/>
          <w:szCs w:val="64"/>
        </w:rPr>
        <w:t xml:space="preserve">в </w:t>
      </w:r>
      <w:proofErr w:type="spellStart"/>
      <w:r>
        <w:rPr>
          <w:rFonts w:asciiTheme="minorHAnsi" w:eastAsiaTheme="minorEastAsia" w:hAnsi="Calibri" w:cstheme="minorBidi"/>
          <w:color w:val="2E74B5" w:themeColor="accent5" w:themeShade="BF"/>
          <w:kern w:val="2"/>
          <w:sz w:val="64"/>
          <w:szCs w:val="64"/>
        </w:rPr>
        <w:t>Уватском</w:t>
      </w:r>
      <w:proofErr w:type="spellEnd"/>
    </w:p>
    <w:p w:rsidR="00A12FC1" w:rsidRDefault="00966456">
      <w:pPr>
        <w:pStyle w:val="a9"/>
        <w:spacing w:beforeAutospacing="0" w:after="0" w:afterAutospacing="0"/>
        <w:jc w:val="center"/>
      </w:pPr>
      <w:r>
        <w:rPr>
          <w:rFonts w:asciiTheme="minorHAnsi" w:eastAsiaTheme="minorEastAsia" w:hAnsi="Calibri" w:cstheme="minorBidi"/>
          <w:color w:val="2E74B5" w:themeColor="accent5" w:themeShade="BF"/>
          <w:kern w:val="2"/>
          <w:sz w:val="64"/>
          <w:szCs w:val="64"/>
        </w:rPr>
        <w:t xml:space="preserve"> </w:t>
      </w:r>
      <w:proofErr w:type="gramStart"/>
      <w:r>
        <w:rPr>
          <w:rFonts w:asciiTheme="minorHAnsi" w:eastAsiaTheme="minorEastAsia" w:hAnsi="Calibri" w:cstheme="minorBidi"/>
          <w:color w:val="2E74B5" w:themeColor="accent5" w:themeShade="BF"/>
          <w:kern w:val="2"/>
          <w:sz w:val="64"/>
          <w:szCs w:val="64"/>
        </w:rPr>
        <w:t>муниципальном</w:t>
      </w:r>
      <w:proofErr w:type="gramEnd"/>
      <w:r>
        <w:rPr>
          <w:rFonts w:asciiTheme="minorHAnsi" w:eastAsiaTheme="minorEastAsia" w:hAnsi="Calibri" w:cstheme="minorBidi"/>
          <w:color w:val="2E74B5" w:themeColor="accent5" w:themeShade="BF"/>
          <w:kern w:val="2"/>
          <w:sz w:val="64"/>
          <w:szCs w:val="64"/>
        </w:rPr>
        <w:t xml:space="preserve"> районе </w:t>
      </w:r>
    </w:p>
    <w:p w:rsidR="00A12FC1" w:rsidRDefault="00966456">
      <w:pPr>
        <w:pStyle w:val="a9"/>
        <w:spacing w:beforeAutospacing="0" w:after="0" w:afterAutospacing="0"/>
        <w:jc w:val="center"/>
      </w:pPr>
      <w:r>
        <w:rPr>
          <w:rFonts w:asciiTheme="minorHAnsi" w:eastAsiaTheme="minorEastAsia" w:hAnsi="Calibri" w:cstheme="minorBidi"/>
          <w:color w:val="2E74B5" w:themeColor="accent5" w:themeShade="BF"/>
          <w:kern w:val="2"/>
          <w:sz w:val="64"/>
          <w:szCs w:val="64"/>
        </w:rPr>
        <w:t>на 01.0</w:t>
      </w:r>
      <w:r w:rsidR="003E2905">
        <w:rPr>
          <w:rFonts w:asciiTheme="minorHAnsi" w:eastAsiaTheme="minorEastAsia" w:hAnsi="Calibri" w:cstheme="minorBidi"/>
          <w:color w:val="2E74B5" w:themeColor="accent5" w:themeShade="BF"/>
          <w:kern w:val="2"/>
          <w:sz w:val="64"/>
          <w:szCs w:val="64"/>
        </w:rPr>
        <w:t>7</w:t>
      </w:r>
      <w:r>
        <w:rPr>
          <w:rFonts w:asciiTheme="minorHAnsi" w:eastAsiaTheme="minorEastAsia" w:hAnsi="Calibri" w:cstheme="minorBidi"/>
          <w:color w:val="2E74B5" w:themeColor="accent5" w:themeShade="BF"/>
          <w:kern w:val="2"/>
          <w:sz w:val="64"/>
          <w:szCs w:val="64"/>
        </w:rPr>
        <w:t xml:space="preserve">.2023 г. </w:t>
      </w:r>
    </w:p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966456">
      <w:pPr>
        <w:pStyle w:val="a9"/>
        <w:spacing w:beforeAutospacing="0" w:after="0" w:afterAutospacing="0"/>
        <w:rPr>
          <w:rFonts w:eastAsiaTheme="minorEastAsia"/>
          <w:b/>
          <w:bCs/>
          <w:color w:val="2E74B5" w:themeColor="accent5" w:themeShade="BF"/>
          <w:kern w:val="2"/>
          <w:sz w:val="28"/>
          <w:szCs w:val="28"/>
          <w:u w:val="single"/>
        </w:rPr>
      </w:pPr>
      <w:r>
        <w:rPr>
          <w:rFonts w:eastAsiaTheme="minorEastAsia"/>
          <w:b/>
          <w:bCs/>
          <w:color w:val="2E74B5" w:themeColor="accent5" w:themeShade="BF"/>
          <w:kern w:val="2"/>
          <w:sz w:val="28"/>
          <w:szCs w:val="28"/>
          <w:u w:val="single"/>
        </w:rPr>
        <w:t xml:space="preserve">По вопросам  предоставления  </w:t>
      </w:r>
    </w:p>
    <w:p w:rsidR="00A12FC1" w:rsidRDefault="00966456">
      <w:pPr>
        <w:pStyle w:val="a9"/>
        <w:spacing w:beforeAutospacing="0" w:after="0" w:afterAutospacing="0"/>
        <w:rPr>
          <w:sz w:val="22"/>
          <w:szCs w:val="22"/>
        </w:rPr>
      </w:pPr>
      <w:r>
        <w:rPr>
          <w:rFonts w:eastAsiaTheme="minorEastAsia"/>
          <w:b/>
          <w:bCs/>
          <w:color w:val="2E74B5" w:themeColor="accent5" w:themeShade="BF"/>
          <w:kern w:val="2"/>
          <w:sz w:val="28"/>
          <w:szCs w:val="28"/>
          <w:u w:val="single"/>
        </w:rPr>
        <w:t>инфраструктурных  площадок  обращаться:</w:t>
      </w:r>
    </w:p>
    <w:p w:rsidR="00A12FC1" w:rsidRDefault="00966456">
      <w:pPr>
        <w:contextualSpacing/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  <w:t xml:space="preserve">Коротких Мария Васильевна, </w:t>
      </w:r>
    </w:p>
    <w:p w:rsidR="00A12FC1" w:rsidRDefault="00966456">
      <w:pPr>
        <w:contextualSpacing/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</w:pPr>
      <w:proofErr w:type="gramStart"/>
      <w:r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  <w:t>начальник</w:t>
      </w:r>
      <w:proofErr w:type="gramEnd"/>
      <w:r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  <w:t xml:space="preserve"> управления имущественных </w:t>
      </w:r>
    </w:p>
    <w:p w:rsidR="00A12FC1" w:rsidRDefault="00966456">
      <w:pPr>
        <w:contextualSpacing/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  <w:t>отношений и земельных ресурсов</w:t>
      </w:r>
    </w:p>
    <w:p w:rsidR="00A12FC1" w:rsidRDefault="00966456">
      <w:pPr>
        <w:contextualSpacing/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  <w:t>тел.: 8(34561)28108</w:t>
      </w:r>
    </w:p>
    <w:p w:rsidR="00A12FC1" w:rsidRDefault="00966456">
      <w:pPr>
        <w:contextualSpacing/>
      </w:pPr>
      <w:r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  <w:t xml:space="preserve">адрес эл. почты: </w:t>
      </w:r>
      <w:hyperlink r:id="rId4">
        <w:r>
          <w:rPr>
            <w:rStyle w:val="-"/>
            <w:rFonts w:ascii="Times New Roman" w:eastAsiaTheme="minorEastAsia" w:hAnsi="Times New Roman" w:cs="Times New Roman"/>
            <w:kern w:val="2"/>
            <w:sz w:val="28"/>
            <w:szCs w:val="28"/>
            <w:lang w:eastAsia="ru-RU"/>
          </w:rPr>
          <w:t>Mvk1985@list.ru</w:t>
        </w:r>
      </w:hyperlink>
    </w:p>
    <w:p w:rsidR="00A12FC1" w:rsidRDefault="00A12FC1">
      <w:pPr>
        <w:contextualSpacing/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</w:pPr>
    </w:p>
    <w:p w:rsidR="00A12FC1" w:rsidRDefault="00A12FC1">
      <w:pPr>
        <w:contextualSpacing/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lastRenderedPageBreak/>
        <w:t>Земельный участок № 1</w:t>
      </w:r>
    </w:p>
    <w:tbl>
      <w:tblPr>
        <w:tblW w:w="10491" w:type="dxa"/>
        <w:tblInd w:w="-446" w:type="dxa"/>
        <w:tblCellMar>
          <w:top w:w="72" w:type="dxa"/>
          <w:left w:w="144" w:type="dxa"/>
          <w:bottom w:w="72" w:type="dxa"/>
          <w:right w:w="144" w:type="dxa"/>
        </w:tblCellMar>
        <w:tblLook w:val="0420" w:firstRow="1" w:lastRow="0" w:firstColumn="0" w:lastColumn="0" w:noHBand="0" w:noVBand="1"/>
      </w:tblPr>
      <w:tblGrid>
        <w:gridCol w:w="3274"/>
        <w:gridCol w:w="7217"/>
      </w:tblGrid>
      <w:tr w:rsidR="00A12FC1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hAnsi="Arial" w:cs="Arial"/>
                <w:color w:val="000000" w:themeColor="text1"/>
                <w:kern w:val="2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A12FC1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Тюменская область, Уватский район,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Туртасское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сельское поселение, поселок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Туртас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, микрорайон Дорожников</w:t>
            </w:r>
          </w:p>
        </w:tc>
      </w:tr>
      <w:tr w:rsidR="00A12FC1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72:18:0901002:2341</w:t>
            </w:r>
          </w:p>
        </w:tc>
      </w:tr>
      <w:tr w:rsidR="00A12FC1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8 520</w:t>
            </w:r>
          </w:p>
        </w:tc>
      </w:tr>
      <w:tr w:rsidR="00A12FC1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магазины</w:t>
            </w:r>
          </w:p>
        </w:tc>
      </w:tr>
      <w:tr w:rsidR="00A12FC1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Земли населенных пунктов</w:t>
            </w:r>
          </w:p>
        </w:tc>
      </w:tr>
      <w:tr w:rsidR="00A12FC1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общественно-деловая зона</w:t>
            </w:r>
          </w:p>
        </w:tc>
      </w:tr>
      <w:tr w:rsidR="00A12FC1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зона делового, общественного и коммерческого назначения (О-1)</w:t>
            </w:r>
          </w:p>
        </w:tc>
      </w:tr>
      <w:tr w:rsidR="00A12FC1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Предоставление коммунальных услуг (3.1.1); Административные здания организаций, обеспечивающих предоставление коммунальных услуг (3.1.2); Дома социального обслуживания (3.2.1); Оказание социальной помощи населению (3.2.2); Оказание услуг связи (3.2.3); Общежития (3.2.4); Бытовое обслуживание (3.3); Амбулаторно-поликлиническое обслуживание (3.4.1); Стационарное медицинское обслуживание (3.4.2); Дошкольное, начальное и среднее общее образование (3.5.1); Среднее и высшее профессиональное образование (3.5.2); Объекты культурно-досуговой деятельности (3.6.1); Парки культуры и отдыха (3.6.2); Религиозное использование (3.7); Осуществление религиозных обрядов (3.7.1); Религиозное управление и образование (3.7.2); Государственное управление (3.8.1); Обеспечение деятельности в области гидрометеорологии и смежных с ней областях (3.9.1); Проведение научных исследований (3.9.2); Амбулаторное ветеринарное обслуживание (3.10.1); Деловое управление (4.1); Рынки (4.3)Магазины (4.4); Банковская и страховая деятельность (4.5); Общественное питание (4.6); Гостиничное обслуживание (4.7); Развлекательные мероприятия (4.8.1); Обеспечение спортивно-зрелищных мероприятий (5.1.1); Обеспечение занятий спортом в помещениях (5.1.2); Площадки для занятий спортом (5.1.3); Спортивные базы (5.1.7); Обеспечение внутреннего правопорядка (8.3); Улично-дорожная сеть (12.0.1); Благоустройство территории (12.0.2)</w:t>
            </w:r>
          </w:p>
        </w:tc>
      </w:tr>
      <w:tr w:rsidR="00A12FC1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A12FC1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имеется дорога в асфальтовом покрытии</w:t>
            </w:r>
          </w:p>
        </w:tc>
      </w:tr>
      <w:tr w:rsidR="00A12FC1">
        <w:trPr>
          <w:trHeight w:val="106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pStyle w:val="a9"/>
              <w:spacing w:beforeAutospacing="0" w:after="0" w:afterAutospacing="0" w:line="252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АО «СУЭНКО» Вл-10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кВ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ф. Поселок-1, ф.-Поселок-2 (удаленность 300м) по поселок-1 по АТП отпущено 1,3598 </w:t>
            </w:r>
            <w:proofErr w:type="gram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МВт,  по</w:t>
            </w:r>
            <w:proofErr w:type="gram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поселок-2 отпущено по АРБП 0,665 МВт.  </w:t>
            </w:r>
          </w:p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АО «РЖД»: ВЛ-10кВт на ТП-4 (удаленность 65м) (ТП-4 РЖД 400м)</w:t>
            </w:r>
          </w:p>
        </w:tc>
      </w:tr>
      <w:tr w:rsidR="00A12FC1">
        <w:trPr>
          <w:trHeight w:val="514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Газоснабжение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Газопровод высокого давления (удаленность 200м). Свободная мощность от ГРС 4405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куб.метров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в час</w:t>
            </w:r>
          </w:p>
        </w:tc>
      </w:tr>
      <w:tr w:rsidR="00A12FC1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Водоснабжение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Центральный водопровод (удаленность 250м). Резерв мощности на объекте 350 м3/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сут</w:t>
            </w:r>
            <w:proofErr w:type="spellEnd"/>
          </w:p>
        </w:tc>
      </w:tr>
      <w:tr w:rsidR="00A12FC1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17805,10/178050,96</w:t>
            </w:r>
          </w:p>
        </w:tc>
      </w:tr>
      <w:tr w:rsidR="00A12FC1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предусмотренные статьями 56, 56.1 ЗК РФ</w:t>
            </w:r>
          </w:p>
        </w:tc>
      </w:tr>
      <w:tr w:rsidR="00A12FC1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A12FC1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</w:p>
        </w:tc>
      </w:tr>
    </w:tbl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t>Схема расположения земельного участка №1 на публичной кадастровой карте</w:t>
      </w: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6069965" cy="3860165"/>
            <wp:effectExtent l="0" t="0" r="0" b="0"/>
            <wp:docPr id="1" name="Picture 2" descr="C:\Users\ISOGD1\AppData\Local\Temp\Rar$DIa0.941\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C:\Users\ISOGD1\AppData\Local\Temp\Rar$DIa0.941\234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965" cy="386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Земельный участок № 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2</w:t>
      </w:r>
    </w:p>
    <w:tbl>
      <w:tblPr>
        <w:tblW w:w="10491" w:type="dxa"/>
        <w:tblInd w:w="-446" w:type="dxa"/>
        <w:tblCellMar>
          <w:top w:w="72" w:type="dxa"/>
          <w:left w:w="144" w:type="dxa"/>
          <w:bottom w:w="72" w:type="dxa"/>
          <w:right w:w="144" w:type="dxa"/>
        </w:tblCellMar>
        <w:tblLook w:val="0420" w:firstRow="1" w:lastRow="0" w:firstColumn="0" w:lastColumn="0" w:noHBand="0" w:noVBand="1"/>
      </w:tblPr>
      <w:tblGrid>
        <w:gridCol w:w="3274"/>
        <w:gridCol w:w="7217"/>
      </w:tblGrid>
      <w:tr w:rsidR="00A12FC1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hAnsi="Arial" w:cs="Arial"/>
                <w:color w:val="000000" w:themeColor="text1"/>
                <w:kern w:val="2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A12FC1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Тюменская область, Уватский район, с. Красный Яр, Лесная, 12в</w:t>
            </w:r>
          </w:p>
        </w:tc>
      </w:tr>
      <w:tr w:rsidR="00A12FC1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72:18:1001001:726</w:t>
            </w:r>
          </w:p>
        </w:tc>
      </w:tr>
      <w:tr w:rsidR="00A12FC1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13 320</w:t>
            </w:r>
          </w:p>
        </w:tc>
      </w:tr>
      <w:tr w:rsidR="00A12FC1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под производственную деятельность</w:t>
            </w:r>
          </w:p>
        </w:tc>
      </w:tr>
      <w:tr w:rsidR="00A12FC1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Земли населенных пунктов</w:t>
            </w:r>
          </w:p>
        </w:tc>
      </w:tr>
      <w:tr w:rsidR="00A12FC1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Зона производственного использования</w:t>
            </w:r>
          </w:p>
        </w:tc>
      </w:tr>
      <w:tr w:rsidR="00A12FC1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Производственная зона (П-1)</w:t>
            </w:r>
          </w:p>
        </w:tc>
      </w:tr>
      <w:tr w:rsidR="00A12FC1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Недропользование (6.1); Строительная промышленность (6.6); Склады (6.9); Нефтехимическая промышленность (6.5); Целлюлозно-бумажная промышленность (6.11); Хранение и переработка сельскохозяйственной продукции (1.15); Пищевая промышленность (6.4); Производственная деятельность (6.0); Обслуживание автотранспорта (4.9); Коммунальное обслуживание (3.1)</w:t>
            </w:r>
          </w:p>
        </w:tc>
      </w:tr>
      <w:tr w:rsidR="00A12FC1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A12FC1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имеется дорога в щебеночном покрытии</w:t>
            </w:r>
          </w:p>
        </w:tc>
      </w:tr>
      <w:tr w:rsidR="00A12FC1">
        <w:trPr>
          <w:trHeight w:val="37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ВЛ – 0,4 </w:t>
            </w:r>
            <w:proofErr w:type="spellStart"/>
            <w:proofErr w:type="gram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кВ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 -</w:t>
            </w:r>
            <w:proofErr w:type="gram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10 метров, объем свободной мощности 70 кВт</w:t>
            </w:r>
          </w:p>
        </w:tc>
      </w:tr>
      <w:tr w:rsidR="00A12FC1">
        <w:trPr>
          <w:trHeight w:val="39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Газоснабжение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ПИР-2027 год, СМР-2028 год</w:t>
            </w:r>
          </w:p>
        </w:tc>
      </w:tr>
      <w:tr w:rsidR="00A12FC1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Водоснабжение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От центрального водопровода поселка (удаленность - 100м). Резерв мощности на объекте 10 м3/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сут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.</w:t>
            </w:r>
          </w:p>
        </w:tc>
      </w:tr>
      <w:tr w:rsidR="00A12FC1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29140,83/291408,30</w:t>
            </w:r>
          </w:p>
        </w:tc>
      </w:tr>
      <w:tr w:rsidR="00A12FC1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Данные отсутствуют</w:t>
            </w:r>
          </w:p>
        </w:tc>
      </w:tr>
      <w:tr w:rsidR="00A12FC1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hAnsi="Arial" w:cs="Arial"/>
                <w:color w:val="0070C0"/>
                <w:kern w:val="2"/>
              </w:rPr>
              <w:t> </w:t>
            </w:r>
          </w:p>
        </w:tc>
      </w:tr>
    </w:tbl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t>Схема расположения земельного участка №</w:t>
      </w:r>
      <w:proofErr w:type="gramStart"/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2</w:t>
      </w:r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 на</w:t>
      </w:r>
      <w:proofErr w:type="gramEnd"/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публичной кадастровой карте</w:t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6329680" cy="3552825"/>
            <wp:effectExtent l="0" t="0" r="0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lastRenderedPageBreak/>
        <w:t xml:space="preserve">Земельный участок № 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3</w:t>
      </w:r>
    </w:p>
    <w:tbl>
      <w:tblPr>
        <w:tblW w:w="10491" w:type="dxa"/>
        <w:tblInd w:w="-446" w:type="dxa"/>
        <w:tblCellMar>
          <w:top w:w="72" w:type="dxa"/>
          <w:left w:w="144" w:type="dxa"/>
          <w:bottom w:w="72" w:type="dxa"/>
          <w:right w:w="144" w:type="dxa"/>
        </w:tblCellMar>
        <w:tblLook w:val="0420" w:firstRow="1" w:lastRow="0" w:firstColumn="0" w:lastColumn="0" w:noHBand="0" w:noVBand="1"/>
      </w:tblPr>
      <w:tblGrid>
        <w:gridCol w:w="3274"/>
        <w:gridCol w:w="7217"/>
      </w:tblGrid>
      <w:tr w:rsidR="00A12FC1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hAnsi="Arial" w:cs="Arial"/>
                <w:color w:val="000000" w:themeColor="text1"/>
                <w:kern w:val="2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A12FC1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Тюменская область, Уватский район, д. Солянка,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ул.Новая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, 1б </w:t>
            </w:r>
          </w:p>
        </w:tc>
      </w:tr>
      <w:tr w:rsidR="00A12FC1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72:18:0000000:3123</w:t>
            </w:r>
          </w:p>
        </w:tc>
      </w:tr>
      <w:tr w:rsidR="00A12FC1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76 736</w:t>
            </w:r>
          </w:p>
        </w:tc>
      </w:tr>
      <w:tr w:rsidR="00A12FC1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Производственная деятельность</w:t>
            </w:r>
          </w:p>
        </w:tc>
      </w:tr>
      <w:tr w:rsidR="00A12FC1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Земли населенных пунктов</w:t>
            </w:r>
          </w:p>
        </w:tc>
      </w:tr>
      <w:tr w:rsidR="00A12FC1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Зона производственного использования</w:t>
            </w:r>
          </w:p>
        </w:tc>
      </w:tr>
      <w:tr w:rsidR="00A12FC1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Производственная зона (П-1)</w:t>
            </w:r>
          </w:p>
        </w:tc>
      </w:tr>
      <w:tr w:rsidR="00A12FC1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Недропользование (6.1); Строительная промышленность (6.6); Склады (6.9); Нефтехимическая промышленность (6.5); Целлюлозно-бумажная промышленность (6.11); Хранение и переработка сельскохозяйственной продукции (1.15); Пищевая промышленность (6.4); Производственная деятельность (6.0); Обслуживание автотранспорта (4.9); Коммунальное обслуживание (3.1)</w:t>
            </w:r>
          </w:p>
        </w:tc>
      </w:tr>
      <w:tr w:rsidR="00A12FC1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A12FC1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имеется дорога в щебеночном покрытии</w:t>
            </w:r>
          </w:p>
        </w:tc>
      </w:tr>
      <w:tr w:rsidR="00A12FC1">
        <w:trPr>
          <w:trHeight w:val="37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ВЛ-10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кВ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– 10 метров. КТП 10/0,4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кВ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– 130 метров. Объем свободной мощности 45 кВт</w:t>
            </w:r>
          </w:p>
        </w:tc>
      </w:tr>
      <w:tr w:rsidR="00A12FC1">
        <w:trPr>
          <w:trHeight w:val="39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Газоснабжение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ПИР-2025 год, СМР-2026 год</w:t>
            </w:r>
          </w:p>
        </w:tc>
      </w:tr>
      <w:tr w:rsidR="00A12FC1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Водоснабжение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от центрального водопровода поселка (удаленность 250м).  Резерв мощности на объекте 8 м3/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сут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.</w:t>
            </w:r>
          </w:p>
        </w:tc>
      </w:tr>
      <w:tr w:rsidR="00A12FC1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134268,82/1342688,16</w:t>
            </w:r>
          </w:p>
        </w:tc>
      </w:tr>
      <w:tr w:rsidR="00A12FC1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предусмотренные статьями 56, 56.1 ЗК РФ</w:t>
            </w:r>
          </w:p>
        </w:tc>
      </w:tr>
      <w:tr w:rsidR="00A12FC1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hAnsi="Arial" w:cs="Arial"/>
                <w:color w:val="0070C0"/>
                <w:kern w:val="2"/>
                <w:sz w:val="20"/>
                <w:szCs w:val="20"/>
              </w:rPr>
              <w:t> </w:t>
            </w:r>
          </w:p>
        </w:tc>
      </w:tr>
    </w:tbl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t>Схема расположения земельного участка №</w:t>
      </w:r>
      <w:proofErr w:type="gramStart"/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3</w:t>
      </w:r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 на</w:t>
      </w:r>
      <w:proofErr w:type="gramEnd"/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публичной кадастровой карте</w:t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6152515" cy="3644265"/>
            <wp:effectExtent l="0" t="0" r="0" b="0"/>
            <wp:docPr id="4" name="Изображение2" descr="C:\Users\ISOGD1\AppData\Local\Temp\Rar$DIa0.168\3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2" descr="C:\Users\ISOGD1\AppData\Local\Temp\Rar$DIa0.168\312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64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E21D5E" w:rsidRDefault="00E21D5E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E21D5E" w:rsidRDefault="00E21D5E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lastRenderedPageBreak/>
        <w:t xml:space="preserve">Земельный участок № 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4</w:t>
      </w:r>
    </w:p>
    <w:tbl>
      <w:tblPr>
        <w:tblW w:w="10491" w:type="dxa"/>
        <w:tblInd w:w="-446" w:type="dxa"/>
        <w:tblCellMar>
          <w:top w:w="72" w:type="dxa"/>
          <w:left w:w="144" w:type="dxa"/>
          <w:bottom w:w="72" w:type="dxa"/>
          <w:right w:w="144" w:type="dxa"/>
        </w:tblCellMar>
        <w:tblLook w:val="0420" w:firstRow="1" w:lastRow="0" w:firstColumn="0" w:lastColumn="0" w:noHBand="0" w:noVBand="1"/>
      </w:tblPr>
      <w:tblGrid>
        <w:gridCol w:w="3274"/>
        <w:gridCol w:w="7217"/>
      </w:tblGrid>
      <w:tr w:rsidR="00A12FC1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Calibri" w:hAnsi="Arial" w:cs="Arial"/>
                <w:color w:val="000000" w:themeColor="text1"/>
                <w:kern w:val="2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A12FC1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Тюменская область, Уватский район,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Горнослинкинское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сельское поселение (возле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с.Горнослинкино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)</w:t>
            </w:r>
          </w:p>
        </w:tc>
      </w:tr>
      <w:tr w:rsidR="00A12FC1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Координаты расположения указаны в схеме</w:t>
            </w:r>
          </w:p>
        </w:tc>
      </w:tr>
      <w:tr w:rsidR="00A12FC1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110 000</w:t>
            </w:r>
          </w:p>
        </w:tc>
      </w:tr>
      <w:tr w:rsidR="00A12FC1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под производственную деятельность</w:t>
            </w:r>
          </w:p>
        </w:tc>
      </w:tr>
      <w:tr w:rsidR="00A12FC1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земли сельскохозяйственного назначения (требуется перевод в категорию "земли промышленности…")</w:t>
            </w:r>
          </w:p>
        </w:tc>
      </w:tr>
      <w:tr w:rsidR="00A12FC1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производственная, коммунально-складская зона, зона инженерно-транспортной инфраструктуры</w:t>
            </w:r>
          </w:p>
        </w:tc>
      </w:tr>
      <w:tr w:rsidR="00A12FC1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Производственная зона (П-1)</w:t>
            </w:r>
          </w:p>
        </w:tc>
      </w:tr>
      <w:tr w:rsidR="00A12FC1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Хранение и переработка сельскохозяйственной продукции (1.15); Обеспечение сельскохозяйственного производства (1.18); Предоставление коммунальных услуг (3.1.1); Административные здания организаций, обеспечивающих предоставление коммунальных услуг (3.1.2); Деловое управление (4.1); Служебные гаражи (4.9); Производственная деятельность (6.0); Недропользование (6.1); Легкая промышленность (6.3); Фармацевтическая промышленность (6.3.1); Пищевая промышленность (6.4); Нефтехимическая промышленность (6.5); Строительная промышленность (6.6); Энергетика (6.7); Склады (6.9); Складские площадки (6.9.1); Целлюлозно-бумажная промышленность (6.11); Автомобильный транспорт (7.2); Трубопроводный транспорт (7.5); Обеспечение внутреннего правопорядка (8.3); Гидротехнические сооружения (11.3); Улично-дорожная сеть (12.0.1); Благоустройство территории (12.0.2)</w:t>
            </w:r>
          </w:p>
        </w:tc>
      </w:tr>
      <w:tr w:rsidR="00A12FC1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A12FC1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Имеется дорога в грунтовом покрытии</w:t>
            </w:r>
          </w:p>
        </w:tc>
      </w:tr>
      <w:tr w:rsidR="00A12FC1">
        <w:trPr>
          <w:trHeight w:val="37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ВЛ-10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кВ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проходит в границах земельного участка</w:t>
            </w:r>
          </w:p>
        </w:tc>
      </w:tr>
      <w:tr w:rsidR="00A12FC1">
        <w:trPr>
          <w:trHeight w:val="39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Газоснабжение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ПИР-2027 год, СМР-2028 год</w:t>
            </w:r>
          </w:p>
        </w:tc>
      </w:tr>
      <w:tr w:rsidR="00A12FC1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Водоснабжение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от центрально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го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водопровода поселка (удаленность - 370м). Резерв мощности на объекте 7 м3/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сут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.</w:t>
            </w:r>
          </w:p>
        </w:tc>
      </w:tr>
      <w:tr w:rsidR="00A12FC1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Стоимость аренды будет установлена после перевода земельного участка из категории земель с/х назначения</w:t>
            </w:r>
          </w:p>
        </w:tc>
      </w:tr>
      <w:tr w:rsidR="00A12FC1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Данные отсутствуют</w:t>
            </w:r>
          </w:p>
        </w:tc>
      </w:tr>
      <w:tr w:rsidR="00A12FC1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hAnsi="Arial" w:cs="Arial"/>
                <w:color w:val="0070C0"/>
                <w:kern w:val="2"/>
                <w:sz w:val="20"/>
                <w:szCs w:val="20"/>
              </w:rPr>
              <w:t> </w:t>
            </w:r>
          </w:p>
        </w:tc>
      </w:tr>
    </w:tbl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9D1D7C" w:rsidRDefault="009D1D7C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9D1D7C" w:rsidRDefault="009D1D7C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E21D5E" w:rsidRDefault="00E21D5E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lastRenderedPageBreak/>
        <w:t>Схема расположения земельного участка №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4</w:t>
      </w:r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на публичной кадастровой карте</w:t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noProof/>
        </w:rPr>
        <w:drawing>
          <wp:inline distT="0" distB="0" distL="0" distR="0">
            <wp:extent cx="6547485" cy="4200525"/>
            <wp:effectExtent l="0" t="0" r="0" b="0"/>
            <wp:docPr id="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48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3320" w:type="dxa"/>
        <w:tblInd w:w="6629" w:type="dxa"/>
        <w:tblCellMar>
          <w:top w:w="37" w:type="dxa"/>
          <w:left w:w="37" w:type="dxa"/>
          <w:bottom w:w="37" w:type="dxa"/>
          <w:right w:w="37" w:type="dxa"/>
        </w:tblCellMar>
        <w:tblLook w:val="0600" w:firstRow="0" w:lastRow="0" w:firstColumn="0" w:lastColumn="0" w:noHBand="1" w:noVBand="1"/>
      </w:tblPr>
      <w:tblGrid>
        <w:gridCol w:w="760"/>
        <w:gridCol w:w="1280"/>
        <w:gridCol w:w="1280"/>
      </w:tblGrid>
      <w:tr w:rsidR="00A12FC1">
        <w:trPr>
          <w:trHeight w:val="301"/>
        </w:trPr>
        <w:tc>
          <w:tcPr>
            <w:tcW w:w="332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301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Координаты земельного участка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517021,58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3474145,74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517387,45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3474535,35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517209,47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3474632,86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517119,96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3474585,71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517077,49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3474502,12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517077,5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3474502,12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517091,51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3474493,6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517072,62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3474469,15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517057,58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3474444,7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517033,22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3474449,47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516988,64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3474416,84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516985,68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3474384,56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516966,02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3474171,86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517021,58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3474145,74</w:t>
            </w:r>
          </w:p>
        </w:tc>
      </w:tr>
      <w:tr w:rsidR="00A12FC1">
        <w:trPr>
          <w:trHeight w:hRule="exact" w:val="302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A12FC1">
            <w:pPr>
              <w:spacing w:after="0" w:line="240" w:lineRule="auto"/>
              <w:rPr>
                <w:rFonts w:ascii="Arial" w:eastAsia="Times New Roman" w:hAnsi="Arial" w:cs="Arial"/>
                <w:sz w:val="30"/>
                <w:szCs w:val="36"/>
                <w:lang w:eastAsia="ru-RU"/>
              </w:rPr>
            </w:pP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A12FC1">
            <w:pPr>
              <w:spacing w:after="0" w:line="240" w:lineRule="auto"/>
              <w:rPr>
                <w:rFonts w:ascii="Arial" w:eastAsia="Times New Roman" w:hAnsi="Arial" w:cs="Arial"/>
                <w:sz w:val="30"/>
                <w:szCs w:val="36"/>
                <w:lang w:eastAsia="ru-RU"/>
              </w:rPr>
            </w:pP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A12FC1">
            <w:pPr>
              <w:spacing w:after="0" w:line="240" w:lineRule="auto"/>
              <w:rPr>
                <w:rFonts w:ascii="Arial" w:eastAsia="Times New Roman" w:hAnsi="Arial" w:cs="Arial"/>
                <w:sz w:val="30"/>
                <w:szCs w:val="36"/>
                <w:lang w:eastAsia="ru-RU"/>
              </w:rPr>
            </w:pP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516945,79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3474181,37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516964,19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3474380,28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516953,13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3474387,71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516820,47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3474240,29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516945,79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3474181,37</w:t>
            </w:r>
          </w:p>
        </w:tc>
      </w:tr>
    </w:tbl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lastRenderedPageBreak/>
        <w:t xml:space="preserve">Земельный участок № 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5</w:t>
      </w:r>
    </w:p>
    <w:tbl>
      <w:tblPr>
        <w:tblW w:w="10491" w:type="dxa"/>
        <w:tblInd w:w="-446" w:type="dxa"/>
        <w:tblCellMar>
          <w:top w:w="72" w:type="dxa"/>
          <w:left w:w="144" w:type="dxa"/>
          <w:bottom w:w="72" w:type="dxa"/>
          <w:right w:w="144" w:type="dxa"/>
        </w:tblCellMar>
        <w:tblLook w:val="0420" w:firstRow="1" w:lastRow="0" w:firstColumn="0" w:lastColumn="0" w:noHBand="0" w:noVBand="1"/>
      </w:tblPr>
      <w:tblGrid>
        <w:gridCol w:w="3274"/>
        <w:gridCol w:w="7217"/>
      </w:tblGrid>
      <w:tr w:rsidR="00A12FC1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hAnsi="Arial" w:cs="Arial"/>
                <w:color w:val="000000" w:themeColor="text1"/>
                <w:kern w:val="2"/>
                <w:sz w:val="20"/>
                <w:szCs w:val="20"/>
              </w:rPr>
              <w:t>Муниципальная</w:t>
            </w:r>
          </w:p>
        </w:tc>
      </w:tr>
      <w:tr w:rsidR="00A12FC1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Тюменская область, Уватский район, земельный участок № 51</w:t>
            </w:r>
          </w:p>
        </w:tc>
      </w:tr>
      <w:tr w:rsidR="00A12FC1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72:18:1205003:260</w:t>
            </w:r>
          </w:p>
        </w:tc>
      </w:tr>
      <w:tr w:rsidR="00A12FC1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1 134 544</w:t>
            </w:r>
          </w:p>
        </w:tc>
      </w:tr>
      <w:tr w:rsidR="00A12FC1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сельскохозяйственное использование</w:t>
            </w:r>
          </w:p>
        </w:tc>
      </w:tr>
      <w:tr w:rsidR="00A12FC1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земли сельскохозяйственного назначения (требуется перевод в категорию "земли промышленности…")</w:t>
            </w:r>
          </w:p>
        </w:tc>
      </w:tr>
      <w:tr w:rsidR="00A12FC1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производственная, коммунально-складская зона, зона инженерно-транспортной инфраструктуры</w:t>
            </w:r>
          </w:p>
        </w:tc>
      </w:tr>
      <w:tr w:rsidR="00A12FC1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Производственная зона (П-1)</w:t>
            </w:r>
          </w:p>
        </w:tc>
      </w:tr>
      <w:tr w:rsidR="00A12FC1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Хранение и переработка сельскохозяйственной продукции (1.15); Обеспечение сельскохозяйственного производства (1.18); Предоставление коммунальных услуг (3.1.1); Административные здания организаций, обеспечивающих предоставление коммунальных услуг (3.1.2); Деловое управление (4.1); Служебные гаражи (4.9); Производственная деятельность (6.0); Недропользование (6.1); Легкая промышленность (6.3); Фармацевтическая промышленность (6.3.1); Пищевая промышленность (6.4); Нефтехимическая промышленность (6.5); Строительная промышленность (6.6); Энергетика (6.7); Склады (6.9); Складские площадки (6.9.1); Целлюлозно-бумажная промышленность (6.11); Автомобильный транспорт (7.2); Трубопроводный транспорт (7.5); Обеспечение внутреннего правопорядка (8.3); Гидротехнические сооружения (11.3); Улично-дорожная сеть (12.0.1); Благоустройство территории (12.0.2)</w:t>
            </w:r>
          </w:p>
        </w:tc>
      </w:tr>
      <w:tr w:rsidR="00A12FC1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A12FC1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С западной стороны участок примыкает к ФАД Тюмень-Тобольск-Ханты-Мансийск</w:t>
            </w:r>
          </w:p>
        </w:tc>
      </w:tr>
      <w:tr w:rsidR="00A12FC1">
        <w:trPr>
          <w:trHeight w:val="37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ВЛ-10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кВ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проходит в 320 метрах в западном направлении, свободная мощность имеется</w:t>
            </w:r>
          </w:p>
        </w:tc>
      </w:tr>
      <w:tr w:rsidR="00A12FC1">
        <w:trPr>
          <w:trHeight w:val="39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Газоснабжение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ПИР-2027 год, СМР-2028 год</w:t>
            </w:r>
          </w:p>
        </w:tc>
      </w:tr>
      <w:tr w:rsidR="00A12FC1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Водоснабжение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отсутствует</w:t>
            </w:r>
          </w:p>
        </w:tc>
      </w:tr>
      <w:tr w:rsidR="00A12FC1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7487,99/127295,84</w:t>
            </w:r>
          </w:p>
        </w:tc>
      </w:tr>
      <w:tr w:rsidR="00A12FC1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 w:rsidP="00AF215D">
            <w:pPr>
              <w:pStyle w:val="a9"/>
              <w:spacing w:beforeAutospacing="0" w:after="0" w:afterAutospacing="0" w:line="252" w:lineRule="auto"/>
              <w:rPr>
                <w:rFonts w:ascii="Arial" w:hAnsi="Arial" w:cs="Arial"/>
                <w:color w:val="0070C0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предусмотренные статьями 56, 56.1 ЗК РФ, 72:18-6.397 (Придорожная полоса</w:t>
            </w:r>
            <w:r w:rsidR="00AF215D"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</w:t>
            </w: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Зона охраны искусственных объектов)</w:t>
            </w:r>
          </w:p>
        </w:tc>
      </w:tr>
      <w:tr w:rsidR="00A12FC1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hAnsi="Arial" w:cs="Arial"/>
                <w:color w:val="0070C0"/>
                <w:kern w:val="2"/>
                <w:sz w:val="20"/>
                <w:szCs w:val="20"/>
              </w:rPr>
              <w:t> </w:t>
            </w:r>
          </w:p>
        </w:tc>
      </w:tr>
    </w:tbl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t>Схема расположения земельного участка №</w:t>
      </w:r>
      <w:proofErr w:type="gramStart"/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5</w:t>
      </w:r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 на</w:t>
      </w:r>
      <w:proofErr w:type="gramEnd"/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публичной кадастровой карте</w:t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6068695" cy="4286250"/>
            <wp:effectExtent l="0" t="0" r="0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69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t>Земельный участок №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</w:t>
      </w:r>
      <w:bookmarkStart w:id="0" w:name="_GoBack"/>
      <w:bookmarkEnd w:id="0"/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6</w:t>
      </w:r>
    </w:p>
    <w:tbl>
      <w:tblPr>
        <w:tblW w:w="10485" w:type="dxa"/>
        <w:tblInd w:w="-446" w:type="dxa"/>
        <w:tblCellMar>
          <w:top w:w="72" w:type="dxa"/>
          <w:left w:w="144" w:type="dxa"/>
          <w:bottom w:w="72" w:type="dxa"/>
          <w:right w:w="144" w:type="dxa"/>
        </w:tblCellMar>
        <w:tblLook w:val="0420" w:firstRow="1" w:lastRow="0" w:firstColumn="0" w:lastColumn="0" w:noHBand="0" w:noVBand="1"/>
      </w:tblPr>
      <w:tblGrid>
        <w:gridCol w:w="3274"/>
        <w:gridCol w:w="7211"/>
      </w:tblGrid>
      <w:tr w:rsidR="00A12FC1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Calibri" w:hAnsi="Arial" w:cs="Arial"/>
                <w:color w:val="000000" w:themeColor="text1"/>
                <w:kern w:val="2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A12FC1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Тюменская область, Уватский район,</w:t>
            </w:r>
            <w:r>
              <w:rPr>
                <w:rFonts w:ascii="Arial" w:eastAsia="Times New Roman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kern w:val="2"/>
                <w:sz w:val="20"/>
                <w:szCs w:val="20"/>
                <w:lang w:eastAsia="ru-RU"/>
              </w:rPr>
              <w:t>село Демьянское, земельный участок №15</w:t>
            </w:r>
          </w:p>
        </w:tc>
      </w:tr>
      <w:tr w:rsidR="00A12FC1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72:18:0306002:823</w:t>
            </w:r>
          </w:p>
        </w:tc>
      </w:tr>
      <w:tr w:rsidR="00A12FC1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3992</w:t>
            </w:r>
          </w:p>
        </w:tc>
      </w:tr>
      <w:tr w:rsidR="00A12FC1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Гостиничное обслуживание</w:t>
            </w:r>
          </w:p>
        </w:tc>
      </w:tr>
      <w:tr w:rsidR="00A12FC1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Земли населенных пунктов</w:t>
            </w:r>
          </w:p>
        </w:tc>
      </w:tr>
      <w:tr w:rsidR="00A12FC1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Общественно-деловая зона </w:t>
            </w:r>
          </w:p>
        </w:tc>
      </w:tr>
      <w:tr w:rsidR="00A12FC1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Общественно-деловая зона (О-1)</w:t>
            </w:r>
          </w:p>
        </w:tc>
      </w:tr>
      <w:tr w:rsidR="00A12FC1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/>
                <w:kern w:val="2"/>
                <w:sz w:val="20"/>
                <w:szCs w:val="20"/>
              </w:rPr>
              <w:t>С</w:t>
            </w:r>
            <w:r>
              <w:rPr>
                <w:rFonts w:ascii="Arial" w:hAnsi="Arial"/>
                <w:color w:val="000000"/>
                <w:sz w:val="20"/>
                <w:szCs w:val="20"/>
              </w:rPr>
              <w:t>оциальное обслуживание (3.2), Бытовое обслуживание (3.3), Амбулаторно-поликлиническое обслуживание (3.4.1), Стационарное медицинское обслуживание (3.4.2), Дошкольное, начальное и среднее общее образование (3.5.1), Среднее и высшее профессиональное образование (3.5.2), Культурное развитие (3.6), Обеспечение внутреннего правопорядка (8.3), Банковская и страховая деятельность (4.5), Рынки (4.3), Магазины (4.4), Общественное питание (4.6), Религиозное использование (3.7), Общественное управление (3.8), Деловое управление (4.1), Гостиничное обслуживание (4.7), Развлечения (4.8), Спорт (5.1), Обеспечение деятельности в области гидрометеорологии и смежных с ней областях (3.9.1), Коммунальное обслуживание (3.1), Земельные участки (территории) общего пользования (12.0)</w:t>
            </w:r>
          </w:p>
        </w:tc>
      </w:tr>
      <w:tr w:rsidR="00A12FC1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A12FC1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/>
                <w:kern w:val="2"/>
                <w:sz w:val="20"/>
                <w:szCs w:val="20"/>
              </w:rPr>
              <w:t>И</w:t>
            </w:r>
            <w:r>
              <w:rPr>
                <w:rFonts w:ascii="Arial" w:hAnsi="Arial"/>
                <w:color w:val="000000"/>
                <w:sz w:val="20"/>
                <w:szCs w:val="20"/>
              </w:rPr>
              <w:t>меется дорога с асфальтобетонным покрытием</w:t>
            </w:r>
          </w:p>
        </w:tc>
      </w:tr>
      <w:tr w:rsidR="00A12FC1">
        <w:trPr>
          <w:trHeight w:val="37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kern w:val="2"/>
                <w:sz w:val="20"/>
                <w:szCs w:val="20"/>
                <w:lang w:eastAsia="ru-RU"/>
              </w:rPr>
              <w:t>В</w:t>
            </w:r>
            <w:r>
              <w:rPr>
                <w:rFonts w:ascii="Arial" w:hAnsi="Arial"/>
                <w:color w:val="000000"/>
                <w:sz w:val="20"/>
                <w:szCs w:val="20"/>
              </w:rPr>
              <w:t xml:space="preserve">Л-10 </w:t>
            </w:r>
            <w:proofErr w:type="spellStart"/>
            <w:r>
              <w:rPr>
                <w:rFonts w:ascii="Arial" w:hAnsi="Arial"/>
                <w:color w:val="000000"/>
                <w:sz w:val="20"/>
                <w:szCs w:val="20"/>
              </w:rPr>
              <w:t>кВ</w:t>
            </w:r>
            <w:proofErr w:type="spellEnd"/>
            <w:r>
              <w:rPr>
                <w:rFonts w:ascii="Arial" w:hAnsi="Arial"/>
                <w:color w:val="000000"/>
                <w:sz w:val="20"/>
                <w:szCs w:val="20"/>
              </w:rPr>
              <w:t xml:space="preserve"> проходит в 110 метрах в западном направлении, свободная мощность имеется</w:t>
            </w:r>
          </w:p>
        </w:tc>
      </w:tr>
      <w:tr w:rsidR="00A12FC1">
        <w:trPr>
          <w:trHeight w:val="39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Газоснабжение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Pr="003C0942" w:rsidRDefault="003C0942" w:rsidP="003C094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>ПИР-2024 год, СМР-2025 год</w:t>
            </w:r>
          </w:p>
        </w:tc>
      </w:tr>
      <w:tr w:rsidR="00A12FC1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Водоснабжение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Pr="003C0942" w:rsidRDefault="003C0942" w:rsidP="003C0942">
            <w:pPr>
              <w:spacing w:after="24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 xml:space="preserve">Центральный водопровод (удаленность 120м). Резерв мощности на объекте 40 м3/ </w:t>
            </w:r>
            <w:proofErr w:type="spellStart"/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>сут</w:t>
            </w:r>
            <w:proofErr w:type="spellEnd"/>
          </w:p>
        </w:tc>
      </w:tr>
      <w:tr w:rsidR="00A12FC1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12513,72/125137,22</w:t>
            </w:r>
          </w:p>
        </w:tc>
      </w:tr>
      <w:tr w:rsidR="00A12FC1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Данные отсутствуют</w:t>
            </w:r>
          </w:p>
        </w:tc>
      </w:tr>
      <w:tr w:rsidR="00A12FC1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hAnsi="Arial" w:cs="Arial"/>
                <w:color w:val="0070C0"/>
                <w:kern w:val="2"/>
                <w:sz w:val="20"/>
                <w:szCs w:val="20"/>
              </w:rPr>
              <w:t> </w:t>
            </w:r>
          </w:p>
        </w:tc>
      </w:tr>
    </w:tbl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t>Схема расположения земельного участка №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6</w:t>
      </w:r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на публичной кадастровой карте</w:t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noProof/>
        </w:rPr>
        <w:drawing>
          <wp:anchor distT="0" distB="0" distL="0" distR="0" simplePos="0" relativeHeight="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660515" cy="4863465"/>
            <wp:effectExtent l="0" t="0" r="0" b="0"/>
            <wp:wrapSquare wrapText="largest"/>
            <wp:docPr id="7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863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966456">
      <w:pPr>
        <w:pStyle w:val="a9"/>
        <w:spacing w:beforeAutospacing="0" w:after="0" w:afterAutospacing="0"/>
        <w:ind w:left="-567" w:firstLine="141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t>Земельный участок №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7</w:t>
      </w:r>
    </w:p>
    <w:tbl>
      <w:tblPr>
        <w:tblW w:w="10485" w:type="dxa"/>
        <w:tblInd w:w="-446" w:type="dxa"/>
        <w:tblCellMar>
          <w:top w:w="72" w:type="dxa"/>
          <w:left w:w="144" w:type="dxa"/>
          <w:bottom w:w="72" w:type="dxa"/>
          <w:right w:w="144" w:type="dxa"/>
        </w:tblCellMar>
        <w:tblLook w:val="0420" w:firstRow="1" w:lastRow="0" w:firstColumn="0" w:lastColumn="0" w:noHBand="0" w:noVBand="1"/>
      </w:tblPr>
      <w:tblGrid>
        <w:gridCol w:w="3274"/>
        <w:gridCol w:w="7211"/>
      </w:tblGrid>
      <w:tr w:rsidR="00A12FC1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Calibri" w:hAnsi="Arial" w:cs="Arial"/>
                <w:color w:val="000000" w:themeColor="text1"/>
                <w:kern w:val="2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A12FC1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Тюменская область, Уватский район,</w:t>
            </w:r>
            <w:r>
              <w:rPr>
                <w:rFonts w:ascii="Arial" w:eastAsia="Times New Roman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kern w:val="2"/>
                <w:sz w:val="20"/>
                <w:szCs w:val="20"/>
                <w:lang w:eastAsia="ru-RU"/>
              </w:rPr>
              <w:t>село Демьянское, земельный участок №17</w:t>
            </w:r>
          </w:p>
        </w:tc>
      </w:tr>
      <w:tr w:rsidR="00A12FC1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72:18:0306002:825</w:t>
            </w:r>
          </w:p>
        </w:tc>
      </w:tr>
      <w:tr w:rsidR="00A12FC1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3688</w:t>
            </w:r>
          </w:p>
        </w:tc>
      </w:tr>
      <w:tr w:rsidR="00A12FC1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Гостиничное обслуживание</w:t>
            </w:r>
          </w:p>
        </w:tc>
      </w:tr>
      <w:tr w:rsidR="00A12FC1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Земли населенных пунктов</w:t>
            </w:r>
          </w:p>
        </w:tc>
      </w:tr>
      <w:tr w:rsidR="00A12FC1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Общественно-деловая зона </w:t>
            </w:r>
          </w:p>
        </w:tc>
      </w:tr>
      <w:tr w:rsidR="00A12FC1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Общественно-деловая зона (О-1)</w:t>
            </w:r>
          </w:p>
        </w:tc>
      </w:tr>
      <w:tr w:rsidR="00A12FC1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/>
                <w:kern w:val="2"/>
                <w:sz w:val="20"/>
                <w:szCs w:val="20"/>
              </w:rPr>
              <w:t>С</w:t>
            </w:r>
            <w:r>
              <w:rPr>
                <w:rFonts w:ascii="Arial" w:hAnsi="Arial"/>
                <w:color w:val="000000"/>
                <w:sz w:val="20"/>
                <w:szCs w:val="20"/>
              </w:rPr>
              <w:t>оциальное обслуживание (3.2), Бытовое обслуживание (3.3), Амбулаторно-поликлиническое обслуживание (3.4.1), Стационарное медицинское обслуживание (3.4.2), Дошкольное, начальное и среднее общее образование (3.5.1), Среднее и высшее профессиональное образование (3.5.2), Культурное развитие (3.6), Обеспечение внутреннего правопорядка (8.3), Банковская и страховая деятельность (4.5), Рынки (4.3), Магазины (4.4), Общественное питание (4.6), Религиозное использование (3.7), Общественное управление (3.8), Деловое управление (4.1), Гостиничное обслуживание (4.7), Развлечения (4.8), Спорт (5.1), Обеспечение деятельности в области гидрометеорологии и смежных с ней областях (3.9.1), Коммунальное обслуживание (3.1), Земельные участки (территории) общего пользования (12.0)</w:t>
            </w:r>
          </w:p>
        </w:tc>
      </w:tr>
      <w:tr w:rsidR="00A12FC1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A12FC1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/>
                <w:kern w:val="2"/>
                <w:sz w:val="20"/>
                <w:szCs w:val="20"/>
              </w:rPr>
              <w:t>И</w:t>
            </w:r>
            <w:r>
              <w:rPr>
                <w:rFonts w:ascii="Arial" w:hAnsi="Arial"/>
                <w:color w:val="000000"/>
                <w:sz w:val="20"/>
                <w:szCs w:val="20"/>
              </w:rPr>
              <w:t>меется дорога с асфальтобетонным покрытием</w:t>
            </w:r>
          </w:p>
        </w:tc>
      </w:tr>
      <w:tr w:rsidR="00A12FC1">
        <w:trPr>
          <w:trHeight w:val="37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kern w:val="2"/>
                <w:sz w:val="20"/>
                <w:szCs w:val="20"/>
                <w:lang w:eastAsia="ru-RU"/>
              </w:rPr>
              <w:t>В</w:t>
            </w:r>
            <w:r>
              <w:rPr>
                <w:rFonts w:ascii="Arial" w:hAnsi="Arial"/>
                <w:color w:val="000000"/>
                <w:sz w:val="20"/>
                <w:szCs w:val="20"/>
              </w:rPr>
              <w:t xml:space="preserve">Л-10 </w:t>
            </w:r>
            <w:proofErr w:type="spellStart"/>
            <w:r>
              <w:rPr>
                <w:rFonts w:ascii="Arial" w:hAnsi="Arial"/>
                <w:color w:val="000000"/>
                <w:sz w:val="20"/>
                <w:szCs w:val="20"/>
              </w:rPr>
              <w:t>кВ</w:t>
            </w:r>
            <w:proofErr w:type="spellEnd"/>
            <w:r>
              <w:rPr>
                <w:rFonts w:ascii="Arial" w:hAnsi="Arial"/>
                <w:color w:val="000000"/>
                <w:sz w:val="20"/>
                <w:szCs w:val="20"/>
              </w:rPr>
              <w:t xml:space="preserve"> проходит в 110 метрах в западном направлении, свободная мощность имеется</w:t>
            </w:r>
          </w:p>
        </w:tc>
      </w:tr>
      <w:tr w:rsidR="00A12FC1">
        <w:trPr>
          <w:trHeight w:val="39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Газоснабжение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3C0942" w:rsidRPr="003C0942" w:rsidRDefault="003C0942" w:rsidP="003C094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>ПИР-2024 год, СМР-2025 год</w:t>
            </w:r>
          </w:p>
          <w:p w:rsidR="00A12FC1" w:rsidRPr="003C0942" w:rsidRDefault="00A12FC1">
            <w:pPr>
              <w:spacing w:after="0" w:line="240" w:lineRule="auto"/>
              <w:rPr>
                <w:rFonts w:eastAsia="Times New Roman" w:cs="Arial"/>
                <w:color w:val="0070C0"/>
                <w:kern w:val="2"/>
                <w:sz w:val="20"/>
                <w:szCs w:val="20"/>
                <w:lang w:eastAsia="ru-RU"/>
              </w:rPr>
            </w:pPr>
          </w:p>
        </w:tc>
      </w:tr>
      <w:tr w:rsidR="00A12FC1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Водоснабжение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3C0942" w:rsidRPr="003C0942" w:rsidRDefault="003C0942" w:rsidP="003C094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 xml:space="preserve">Центральный водопровод (удаленность 120м). Резерв мощности на объекте 40 м3/ </w:t>
            </w:r>
            <w:proofErr w:type="spellStart"/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>сут</w:t>
            </w:r>
            <w:proofErr w:type="spellEnd"/>
          </w:p>
          <w:p w:rsidR="00A12FC1" w:rsidRPr="003C0942" w:rsidRDefault="00A12FC1">
            <w:pPr>
              <w:spacing w:after="0" w:line="240" w:lineRule="auto"/>
              <w:rPr>
                <w:rFonts w:eastAsia="Times New Roman" w:cs="Arial"/>
                <w:color w:val="0070C0"/>
                <w:kern w:val="2"/>
                <w:sz w:val="20"/>
                <w:szCs w:val="20"/>
                <w:lang w:eastAsia="ru-RU"/>
              </w:rPr>
            </w:pPr>
          </w:p>
        </w:tc>
      </w:tr>
      <w:tr w:rsidR="00A12FC1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11560,77/115607,74</w:t>
            </w:r>
          </w:p>
        </w:tc>
      </w:tr>
      <w:tr w:rsidR="00A12FC1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Данные отсутствуют</w:t>
            </w:r>
          </w:p>
        </w:tc>
      </w:tr>
      <w:tr w:rsidR="00A12FC1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hAnsi="Arial" w:cs="Arial"/>
                <w:color w:val="0070C0"/>
                <w:kern w:val="2"/>
                <w:sz w:val="20"/>
                <w:szCs w:val="20"/>
              </w:rPr>
              <w:t> </w:t>
            </w:r>
          </w:p>
        </w:tc>
      </w:tr>
    </w:tbl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F215D" w:rsidRDefault="00AF215D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F215D" w:rsidRDefault="00AF215D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t>Схема расположения земельного участка №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7</w:t>
      </w:r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на публичной кадастровой карте</w:t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noProof/>
        </w:rPr>
        <w:drawing>
          <wp:anchor distT="0" distB="0" distL="0" distR="0" simplePos="0" relativeHeight="3" behindDoc="0" locked="0" layoutInCell="1" allowOverlap="1">
            <wp:simplePos x="0" y="0"/>
            <wp:positionH relativeFrom="column">
              <wp:posOffset>-141605</wp:posOffset>
            </wp:positionH>
            <wp:positionV relativeFrom="paragraph">
              <wp:posOffset>100330</wp:posOffset>
            </wp:positionV>
            <wp:extent cx="6660515" cy="4863465"/>
            <wp:effectExtent l="0" t="0" r="0" b="0"/>
            <wp:wrapSquare wrapText="largest"/>
            <wp:docPr id="8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863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9D1D7C" w:rsidRDefault="009D1D7C">
      <w:pPr>
        <w:pStyle w:val="a9"/>
        <w:spacing w:beforeAutospacing="0" w:after="0" w:afterAutospacing="0"/>
        <w:ind w:left="-567" w:firstLine="141"/>
        <w:jc w:val="center"/>
      </w:pPr>
    </w:p>
    <w:p w:rsidR="009D1D7C" w:rsidRDefault="009D1D7C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966456">
      <w:pPr>
        <w:pStyle w:val="a9"/>
        <w:spacing w:beforeAutospacing="0" w:after="0" w:afterAutospacing="0"/>
        <w:ind w:left="-567" w:firstLine="141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t>Земельный участок №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8</w:t>
      </w:r>
    </w:p>
    <w:tbl>
      <w:tblPr>
        <w:tblW w:w="10485" w:type="dxa"/>
        <w:tblInd w:w="-446" w:type="dxa"/>
        <w:tblCellMar>
          <w:top w:w="72" w:type="dxa"/>
          <w:left w:w="144" w:type="dxa"/>
          <w:bottom w:w="72" w:type="dxa"/>
          <w:right w:w="144" w:type="dxa"/>
        </w:tblCellMar>
        <w:tblLook w:val="0420" w:firstRow="1" w:lastRow="0" w:firstColumn="0" w:lastColumn="0" w:noHBand="0" w:noVBand="1"/>
      </w:tblPr>
      <w:tblGrid>
        <w:gridCol w:w="3274"/>
        <w:gridCol w:w="7211"/>
      </w:tblGrid>
      <w:tr w:rsidR="00A12FC1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Calibri" w:hAnsi="Arial" w:cs="Arial"/>
                <w:color w:val="000000" w:themeColor="text1"/>
                <w:kern w:val="2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A12FC1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Тюменская область, Уватский район,</w:t>
            </w:r>
            <w:r>
              <w:rPr>
                <w:rFonts w:ascii="Arial" w:eastAsia="Times New Roman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kern w:val="2"/>
                <w:sz w:val="20"/>
                <w:szCs w:val="20"/>
                <w:lang w:eastAsia="ru-RU"/>
              </w:rPr>
              <w:t>село Демьянское, земельный участок №16</w:t>
            </w:r>
          </w:p>
        </w:tc>
      </w:tr>
      <w:tr w:rsidR="00A12FC1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72:18:0306002:826</w:t>
            </w:r>
          </w:p>
        </w:tc>
      </w:tr>
      <w:tr w:rsidR="00A12FC1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4000</w:t>
            </w:r>
          </w:p>
        </w:tc>
      </w:tr>
      <w:tr w:rsidR="00A12FC1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Гостиничное обслуживание</w:t>
            </w:r>
          </w:p>
        </w:tc>
      </w:tr>
      <w:tr w:rsidR="00A12FC1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Земли населенных пунктов</w:t>
            </w:r>
          </w:p>
        </w:tc>
      </w:tr>
      <w:tr w:rsidR="00A12FC1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Общественно-деловая зона </w:t>
            </w:r>
          </w:p>
        </w:tc>
      </w:tr>
      <w:tr w:rsidR="00A12FC1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Общественно-деловая зона (О-1)</w:t>
            </w:r>
          </w:p>
        </w:tc>
      </w:tr>
      <w:tr w:rsidR="00A12FC1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/>
                <w:kern w:val="2"/>
                <w:sz w:val="20"/>
                <w:szCs w:val="20"/>
              </w:rPr>
              <w:t>С</w:t>
            </w:r>
            <w:r>
              <w:rPr>
                <w:rFonts w:ascii="Arial" w:hAnsi="Arial"/>
                <w:color w:val="000000"/>
                <w:sz w:val="20"/>
                <w:szCs w:val="20"/>
              </w:rPr>
              <w:t>оциальное обслуживание (3.2), Бытовое обслуживание (3.3), Амбулаторно-поликлиническое обслуживание (3.4.1), Стационарное медицинское обслуживание (3.4.2), Дошкольное, начальное и среднее общее образование (3.5.1), Среднее и высшее профессиональное образование (3.5.2), Культурное развитие (3.6), Обеспечение внутреннего правопорядка (8.3), Банковская и страховая деятельность (4.5), Рынки (4.3), Магазины (4.4), Общественное питание (4.6), Религиозное использование (3.7), Общественное управление (3.8), Деловое управление (4.1), Гостиничное обслуживание (4.7), Развлечения (4.8), Спорт (5.1), Обеспечение деятельности в области гидрометеорологии и смежных с ней областях (3.9.1), Коммунальное обслуживание (3.1), Земельные участки (территории) общего пользования (12.0)</w:t>
            </w:r>
          </w:p>
        </w:tc>
      </w:tr>
      <w:tr w:rsidR="00A12FC1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A12FC1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/>
                <w:kern w:val="2"/>
                <w:sz w:val="20"/>
                <w:szCs w:val="20"/>
              </w:rPr>
              <w:t>И</w:t>
            </w:r>
            <w:r>
              <w:rPr>
                <w:rFonts w:ascii="Arial" w:hAnsi="Arial"/>
                <w:color w:val="000000"/>
                <w:sz w:val="20"/>
                <w:szCs w:val="20"/>
              </w:rPr>
              <w:t>меется дорога с асфальтобетонным покрытием</w:t>
            </w:r>
          </w:p>
        </w:tc>
      </w:tr>
      <w:tr w:rsidR="00A12FC1">
        <w:trPr>
          <w:trHeight w:val="37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kern w:val="2"/>
                <w:sz w:val="20"/>
                <w:szCs w:val="20"/>
                <w:lang w:eastAsia="ru-RU"/>
              </w:rPr>
              <w:t>В</w:t>
            </w:r>
            <w:r>
              <w:rPr>
                <w:rFonts w:ascii="Arial" w:hAnsi="Arial"/>
                <w:color w:val="000000"/>
                <w:sz w:val="20"/>
                <w:szCs w:val="20"/>
              </w:rPr>
              <w:t xml:space="preserve">Л-10 </w:t>
            </w:r>
            <w:proofErr w:type="spellStart"/>
            <w:r>
              <w:rPr>
                <w:rFonts w:ascii="Arial" w:hAnsi="Arial"/>
                <w:color w:val="000000"/>
                <w:sz w:val="20"/>
                <w:szCs w:val="20"/>
              </w:rPr>
              <w:t>кВ</w:t>
            </w:r>
            <w:proofErr w:type="spellEnd"/>
            <w:r>
              <w:rPr>
                <w:rFonts w:ascii="Arial" w:hAnsi="Arial"/>
                <w:color w:val="000000"/>
                <w:sz w:val="20"/>
                <w:szCs w:val="20"/>
              </w:rPr>
              <w:t xml:space="preserve"> проходит в 110 метрах в западном направлении, свободная мощность имеется</w:t>
            </w:r>
          </w:p>
        </w:tc>
      </w:tr>
      <w:tr w:rsidR="00A12FC1">
        <w:trPr>
          <w:trHeight w:val="39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Газоснабжение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3C0942" w:rsidRPr="003C0942" w:rsidRDefault="003C0942" w:rsidP="003C094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>ПИР-2024 год, СМР-2025 год</w:t>
            </w:r>
          </w:p>
          <w:p w:rsidR="00A12FC1" w:rsidRPr="003C0942" w:rsidRDefault="00A12FC1">
            <w:pPr>
              <w:spacing w:after="0" w:line="240" w:lineRule="auto"/>
              <w:rPr>
                <w:rFonts w:eastAsia="Times New Roman" w:cs="Arial"/>
                <w:color w:val="0070C0"/>
                <w:kern w:val="2"/>
                <w:sz w:val="20"/>
                <w:szCs w:val="20"/>
                <w:lang w:eastAsia="ru-RU"/>
              </w:rPr>
            </w:pPr>
          </w:p>
        </w:tc>
      </w:tr>
      <w:tr w:rsidR="00A12FC1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Водоснабжение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3C0942" w:rsidRPr="003C0942" w:rsidRDefault="003C0942" w:rsidP="003C094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 xml:space="preserve">Центральный водопровод (удаленность 130м). Резерв мощности на объекте 40 м3/ </w:t>
            </w:r>
            <w:proofErr w:type="spellStart"/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>сут</w:t>
            </w:r>
            <w:proofErr w:type="spellEnd"/>
          </w:p>
          <w:p w:rsidR="00A12FC1" w:rsidRPr="003C0942" w:rsidRDefault="00A12FC1">
            <w:pPr>
              <w:spacing w:after="0" w:line="240" w:lineRule="auto"/>
              <w:rPr>
                <w:rFonts w:eastAsia="Times New Roman" w:cs="Arial"/>
                <w:color w:val="0070C0"/>
                <w:kern w:val="2"/>
                <w:sz w:val="20"/>
                <w:szCs w:val="20"/>
                <w:lang w:eastAsia="ru-RU"/>
              </w:rPr>
            </w:pPr>
          </w:p>
        </w:tc>
      </w:tr>
      <w:tr w:rsidR="00A12FC1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12538,00/125388,0</w:t>
            </w:r>
          </w:p>
        </w:tc>
      </w:tr>
      <w:tr w:rsidR="00A12FC1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Данные отсутствуют</w:t>
            </w:r>
          </w:p>
        </w:tc>
      </w:tr>
      <w:tr w:rsidR="00A12FC1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hAnsi="Arial" w:cs="Arial"/>
                <w:color w:val="0070C0"/>
                <w:kern w:val="2"/>
                <w:sz w:val="20"/>
                <w:szCs w:val="20"/>
              </w:rPr>
              <w:t> </w:t>
            </w:r>
          </w:p>
        </w:tc>
      </w:tr>
    </w:tbl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t>Схема расположения земельного участка №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8</w:t>
      </w:r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на публичной кадастровой карте</w:t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noProof/>
        </w:rPr>
        <w:drawing>
          <wp:anchor distT="0" distB="0" distL="0" distR="0" simplePos="0" relativeHeight="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660515" cy="4863465"/>
            <wp:effectExtent l="0" t="0" r="0" b="0"/>
            <wp:wrapSquare wrapText="largest"/>
            <wp:docPr id="9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863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966456">
      <w:pPr>
        <w:pStyle w:val="a9"/>
        <w:spacing w:beforeAutospacing="0" w:after="0" w:afterAutospacing="0"/>
        <w:ind w:left="-567" w:firstLine="141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Земельный участок № 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9</w:t>
      </w:r>
    </w:p>
    <w:tbl>
      <w:tblPr>
        <w:tblW w:w="10485" w:type="dxa"/>
        <w:tblInd w:w="-446" w:type="dxa"/>
        <w:tblCellMar>
          <w:top w:w="72" w:type="dxa"/>
          <w:left w:w="144" w:type="dxa"/>
          <w:bottom w:w="72" w:type="dxa"/>
          <w:right w:w="144" w:type="dxa"/>
        </w:tblCellMar>
        <w:tblLook w:val="0420" w:firstRow="1" w:lastRow="0" w:firstColumn="0" w:lastColumn="0" w:noHBand="0" w:noVBand="1"/>
      </w:tblPr>
      <w:tblGrid>
        <w:gridCol w:w="3274"/>
        <w:gridCol w:w="7211"/>
      </w:tblGrid>
      <w:tr w:rsidR="00A12FC1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Calibri" w:hAnsi="Arial" w:cs="Arial"/>
                <w:color w:val="000000" w:themeColor="text1"/>
                <w:kern w:val="2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A12FC1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Тюменская область, Уватский район,</w:t>
            </w:r>
            <w:r>
              <w:rPr>
                <w:rFonts w:ascii="Arial" w:eastAsia="Times New Roman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kern w:val="2"/>
                <w:sz w:val="20"/>
                <w:szCs w:val="20"/>
                <w:lang w:eastAsia="ru-RU"/>
              </w:rPr>
              <w:t xml:space="preserve">село Ивановка, улица </w:t>
            </w:r>
            <w:proofErr w:type="spellStart"/>
            <w:r>
              <w:rPr>
                <w:rFonts w:ascii="Arial" w:eastAsia="Times New Roman" w:hAnsi="Arial" w:cs="Arial"/>
                <w:kern w:val="2"/>
                <w:sz w:val="20"/>
                <w:szCs w:val="20"/>
                <w:lang w:eastAsia="ru-RU"/>
              </w:rPr>
              <w:t>Омелинская</w:t>
            </w:r>
            <w:proofErr w:type="spellEnd"/>
            <w:r>
              <w:rPr>
                <w:rFonts w:ascii="Arial" w:eastAsia="Times New Roman" w:hAnsi="Arial" w:cs="Arial"/>
                <w:kern w:val="2"/>
                <w:sz w:val="20"/>
                <w:szCs w:val="20"/>
                <w:lang w:eastAsia="ru-RU"/>
              </w:rPr>
              <w:t>, 29</w:t>
            </w:r>
          </w:p>
        </w:tc>
      </w:tr>
      <w:tr w:rsidR="00A12FC1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72:18:0701001:923</w:t>
            </w:r>
          </w:p>
        </w:tc>
      </w:tr>
      <w:tr w:rsidR="00A12FC1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4378</w:t>
            </w:r>
          </w:p>
        </w:tc>
      </w:tr>
      <w:tr w:rsidR="00A12FC1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Магазины</w:t>
            </w:r>
          </w:p>
        </w:tc>
      </w:tr>
      <w:tr w:rsidR="00A12FC1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Земли населенных пунктов</w:t>
            </w:r>
          </w:p>
        </w:tc>
      </w:tr>
      <w:tr w:rsidR="00A12FC1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Общественно-деловая зона </w:t>
            </w:r>
          </w:p>
        </w:tc>
      </w:tr>
      <w:tr w:rsidR="00A12FC1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Общественно-деловая зона (О-1)</w:t>
            </w:r>
          </w:p>
        </w:tc>
      </w:tr>
      <w:tr w:rsidR="00A12FC1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/>
                <w:kern w:val="2"/>
                <w:sz w:val="20"/>
                <w:szCs w:val="20"/>
              </w:rPr>
              <w:t>С</w:t>
            </w:r>
            <w:r>
              <w:rPr>
                <w:rFonts w:ascii="Arial" w:hAnsi="Arial"/>
                <w:color w:val="000000"/>
                <w:sz w:val="20"/>
                <w:szCs w:val="20"/>
              </w:rPr>
              <w:t>оциальное обслуживание (3.2), Бытовое обслуживание (3.3), Амбулаторно-поликлиническое обслуживание (3.4.1), Стационарное медицинское обслуживание (3.4.2), Дошкольное, начальное и среднее общее образование (3.5.1), Среднее и высшее профессиональное образование (3.5.2), Культурное развитие (3.6), Обеспечение внутреннего правопорядка (8.3), Банковская и страховая деятельность (4.5), Рынки (4.3), Магазины (4.4), Общественное питание (4.6), Религиозное использование (3.7), Общественное управление (3.8), Деловое управление (4.1), Гостиничное обслуживание (4.7), Развлечения (4.8), Спорт (5.1), Обеспечение деятельности в области гидрометеорологии и смежных с ней областях (3.9.1), Коммунальное обслуживание (3.1), Земельные участки (территории) общего пользования (12.0)</w:t>
            </w:r>
          </w:p>
        </w:tc>
      </w:tr>
      <w:tr w:rsidR="00A12FC1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A12FC1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/>
                <w:kern w:val="2"/>
                <w:sz w:val="20"/>
                <w:szCs w:val="20"/>
              </w:rPr>
              <w:t>отсутствует</w:t>
            </w:r>
          </w:p>
        </w:tc>
      </w:tr>
      <w:tr w:rsidR="00A12FC1">
        <w:trPr>
          <w:trHeight w:val="37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Times New Roman" w:hAnsi="Arial" w:cs="Arial"/>
                <w:color w:val="000000"/>
                <w:kern w:val="2"/>
                <w:sz w:val="20"/>
                <w:szCs w:val="20"/>
                <w:lang w:eastAsia="ru-RU"/>
              </w:rPr>
              <w:t>В</w:t>
            </w:r>
            <w:r>
              <w:rPr>
                <w:rFonts w:ascii="Arial" w:hAnsi="Arial"/>
                <w:color w:val="000000"/>
                <w:sz w:val="20"/>
                <w:szCs w:val="20"/>
              </w:rPr>
              <w:t xml:space="preserve">Л-10 </w:t>
            </w:r>
            <w:proofErr w:type="spellStart"/>
            <w:r>
              <w:rPr>
                <w:rFonts w:ascii="Arial" w:hAnsi="Arial"/>
                <w:color w:val="000000"/>
                <w:sz w:val="20"/>
                <w:szCs w:val="20"/>
              </w:rPr>
              <w:t>кВ</w:t>
            </w:r>
            <w:proofErr w:type="spellEnd"/>
            <w:r>
              <w:rPr>
                <w:rFonts w:ascii="Arial" w:hAnsi="Arial"/>
                <w:color w:val="000000"/>
                <w:sz w:val="20"/>
                <w:szCs w:val="20"/>
              </w:rPr>
              <w:t xml:space="preserve"> проходит в 12 метрах от участка, свободная мощность имеется</w:t>
            </w:r>
          </w:p>
        </w:tc>
      </w:tr>
      <w:tr w:rsidR="00A12FC1">
        <w:trPr>
          <w:trHeight w:val="39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Газоснабжение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kern w:val="2"/>
                <w:sz w:val="20"/>
                <w:szCs w:val="20"/>
                <w:lang w:eastAsia="ru-RU"/>
              </w:rPr>
              <w:t>Газопровод среднего давления проходит в 13 метрах от участка</w:t>
            </w:r>
          </w:p>
        </w:tc>
      </w:tr>
      <w:tr w:rsidR="00A12FC1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Водоснабжение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Pr="003C0942" w:rsidRDefault="003C0942" w:rsidP="003C094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 xml:space="preserve">Центральный водопровод </w:t>
            </w:r>
            <w:proofErr w:type="spellStart"/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>с.Береговая</w:t>
            </w:r>
            <w:proofErr w:type="spellEnd"/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 xml:space="preserve"> (удаленность 500м). Резерв мощности на объекте 100 м3/ </w:t>
            </w:r>
            <w:proofErr w:type="spellStart"/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>сут</w:t>
            </w:r>
            <w:proofErr w:type="spellEnd"/>
          </w:p>
        </w:tc>
      </w:tr>
      <w:tr w:rsidR="00A12FC1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14486,15/144861,45</w:t>
            </w:r>
          </w:p>
        </w:tc>
      </w:tr>
      <w:tr w:rsidR="00A12FC1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Частично: зона подтопления (72:18-6.740)</w:t>
            </w:r>
          </w:p>
        </w:tc>
      </w:tr>
      <w:tr w:rsidR="00A12FC1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hAnsi="Arial" w:cs="Arial"/>
                <w:color w:val="0070C0"/>
                <w:kern w:val="2"/>
                <w:sz w:val="20"/>
                <w:szCs w:val="20"/>
              </w:rPr>
              <w:t> </w:t>
            </w:r>
          </w:p>
        </w:tc>
      </w:tr>
    </w:tbl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t>Схема расположения земельного участка №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9</w:t>
      </w:r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на публичной кадастровой карте</w:t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noProof/>
        </w:rPr>
        <w:drawing>
          <wp:anchor distT="0" distB="0" distL="0" distR="0" simplePos="0" relativeHeight="5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660515" cy="4925060"/>
            <wp:effectExtent l="0" t="0" r="0" b="0"/>
            <wp:wrapSquare wrapText="largest"/>
            <wp:docPr id="10" name="Изображение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925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sectPr w:rsidR="00A12FC1">
      <w:pgSz w:w="11906" w:h="16838"/>
      <w:pgMar w:top="709" w:right="850" w:bottom="1134" w:left="1134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DejaVu Sans">
    <w:panose1 w:val="020B0603030804020204"/>
    <w:charset w:val="CC"/>
    <w:family w:val="swiss"/>
    <w:pitch w:val="variable"/>
    <w:sig w:usb0="E7002EFF" w:usb1="D200FDFF" w:usb2="0A24602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327"/>
  <w:characterSpacingControl w:val="doNotCompress"/>
  <w:compat>
    <w:compatSetting w:name="compatibilityMode" w:uri="http://schemas.microsoft.com/office/word" w:val="12"/>
  </w:compat>
  <w:rsids>
    <w:rsidRoot w:val="00A12FC1"/>
    <w:rsid w:val="003C0942"/>
    <w:rsid w:val="003E2905"/>
    <w:rsid w:val="007D668D"/>
    <w:rsid w:val="00966456"/>
    <w:rsid w:val="009D1D7C"/>
    <w:rsid w:val="00A12FC1"/>
    <w:rsid w:val="00AF215D"/>
    <w:rsid w:val="00E21D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6009E00-1E7A-42C8-A5D4-C9CBF93B50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65AB9"/>
    <w:pPr>
      <w:spacing w:after="160" w:line="259" w:lineRule="auto"/>
    </w:pPr>
    <w:rPr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qFormat/>
    <w:rsid w:val="00D65AB9"/>
    <w:rPr>
      <w:rFonts w:ascii="Tahoma" w:hAnsi="Tahoma" w:cs="Tahoma"/>
      <w:sz w:val="16"/>
      <w:szCs w:val="16"/>
    </w:rPr>
  </w:style>
  <w:style w:type="character" w:customStyle="1" w:styleId="-">
    <w:name w:val="Интернет-ссылка"/>
    <w:basedOn w:val="a0"/>
    <w:uiPriority w:val="99"/>
    <w:unhideWhenUsed/>
    <w:rsid w:val="00EC397E"/>
    <w:rPr>
      <w:color w:val="0563C1" w:themeColor="hyperlink"/>
      <w:u w:val="single"/>
    </w:rPr>
  </w:style>
  <w:style w:type="paragraph" w:customStyle="1" w:styleId="a4">
    <w:name w:val="Заголовок"/>
    <w:basedOn w:val="a"/>
    <w:next w:val="a5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5">
    <w:name w:val="Body Text"/>
    <w:basedOn w:val="a"/>
    <w:pPr>
      <w:spacing w:after="140" w:line="276" w:lineRule="auto"/>
    </w:pPr>
  </w:style>
  <w:style w:type="paragraph" w:styleId="a6">
    <w:name w:val="List"/>
    <w:basedOn w:val="a5"/>
    <w:rPr>
      <w:rFonts w:cs="Mangal"/>
    </w:rPr>
  </w:style>
  <w:style w:type="paragraph" w:styleId="a7">
    <w:name w:val="caption"/>
    <w:basedOn w:val="a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8">
    <w:name w:val="index heading"/>
    <w:basedOn w:val="a"/>
    <w:qFormat/>
    <w:pPr>
      <w:suppressLineNumbers/>
    </w:pPr>
    <w:rPr>
      <w:rFonts w:cs="Mangal"/>
    </w:rPr>
  </w:style>
  <w:style w:type="paragraph" w:styleId="a9">
    <w:name w:val="Normal (Web)"/>
    <w:basedOn w:val="a"/>
    <w:uiPriority w:val="99"/>
    <w:unhideWhenUsed/>
    <w:qFormat/>
    <w:rsid w:val="00C17312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uiPriority w:val="99"/>
    <w:semiHidden/>
    <w:unhideWhenUsed/>
    <w:qFormat/>
    <w:rsid w:val="00D65AB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ab">
    <w:name w:val="Содержимое таблицы"/>
    <w:basedOn w:val="a"/>
    <w:qFormat/>
    <w:pPr>
      <w:suppressLineNumbers/>
    </w:pPr>
  </w:style>
  <w:style w:type="paragraph" w:customStyle="1" w:styleId="ac">
    <w:name w:val="Заголовок таблицы"/>
    <w:basedOn w:val="ab"/>
    <w:qFormat/>
    <w:pPr>
      <w:jc w:val="center"/>
    </w:pPr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737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535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3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13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8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66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0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hyperlink" Target="mailto:Mvk1985@list.ru" TargetMode="Externa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19</Pages>
  <Words>2942</Words>
  <Characters>16773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 Анатольевич Бобров</dc:creator>
  <dc:description/>
  <cp:lastModifiedBy>Давшевская Елена Викторовна</cp:lastModifiedBy>
  <cp:revision>14</cp:revision>
  <dcterms:created xsi:type="dcterms:W3CDTF">2023-01-17T05:38:00Z</dcterms:created>
  <dcterms:modified xsi:type="dcterms:W3CDTF">2023-07-07T05:11:00Z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